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4FC" w:rsidRPr="00F73317" w:rsidRDefault="009324FC" w:rsidP="009324FC">
      <w:pPr>
        <w:jc w:val="center"/>
        <w:rPr>
          <w:rFonts w:ascii="Times New Roman" w:hAnsi="Times New Roman" w:cs="Times New Roman"/>
          <w:color w:val="002060"/>
          <w:sz w:val="28"/>
          <w:szCs w:val="28"/>
        </w:rPr>
      </w:pPr>
      <w:r w:rsidRPr="00F73317">
        <w:rPr>
          <w:rFonts w:ascii="Times New Roman" w:hAnsi="Times New Roman" w:cs="Times New Roman"/>
          <w:b/>
          <w:color w:val="002060"/>
          <w:sz w:val="28"/>
          <w:szCs w:val="28"/>
        </w:rPr>
        <w:t>COURSE OUTLINE</w:t>
      </w:r>
    </w:p>
    <w:p w:rsidR="009324FC" w:rsidRPr="00F73317" w:rsidRDefault="009324FC" w:rsidP="009324FC">
      <w:pPr>
        <w:jc w:val="center"/>
        <w:rPr>
          <w:rFonts w:ascii="Times New Roman" w:hAnsi="Times New Roman" w:cs="Times New Roman"/>
          <w:color w:val="002060"/>
          <w:sz w:val="28"/>
          <w:szCs w:val="28"/>
        </w:rPr>
      </w:pPr>
      <w:r w:rsidRPr="00F73317">
        <w:rPr>
          <w:rFonts w:ascii="Times New Roman" w:hAnsi="Times New Roman" w:cs="Times New Roman"/>
          <w:b/>
          <w:color w:val="002060"/>
          <w:sz w:val="28"/>
          <w:szCs w:val="28"/>
        </w:rPr>
        <w:t>MICROECONOMICS</w:t>
      </w:r>
    </w:p>
    <w:p w:rsidR="009324FC" w:rsidRPr="00F73317" w:rsidRDefault="009324FC" w:rsidP="00022BFC">
      <w:pPr>
        <w:pStyle w:val="Heading1"/>
        <w:spacing w:before="0"/>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1. Course Information</w:t>
      </w:r>
    </w:p>
    <w:tbl>
      <w:tblPr>
        <w:tblStyle w:val="TableGrid"/>
        <w:tblW w:w="0" w:type="auto"/>
        <w:tblLook w:val="04A0" w:firstRow="1" w:lastRow="0" w:firstColumn="1" w:lastColumn="0" w:noHBand="0" w:noVBand="1"/>
      </w:tblPr>
      <w:tblGrid>
        <w:gridCol w:w="1681"/>
        <w:gridCol w:w="3157"/>
        <w:gridCol w:w="1675"/>
        <w:gridCol w:w="3063"/>
      </w:tblGrid>
      <w:tr w:rsidR="00F73317" w:rsidRPr="00F36EB0" w:rsidTr="00956BA4">
        <w:tc>
          <w:tcPr>
            <w:tcW w:w="1800"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Item</w:t>
            </w:r>
          </w:p>
        </w:tc>
        <w:tc>
          <w:tcPr>
            <w:tcW w:w="3384"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Details</w:t>
            </w:r>
          </w:p>
        </w:tc>
        <w:tc>
          <w:tcPr>
            <w:tcW w:w="1800"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Item</w:t>
            </w:r>
          </w:p>
        </w:tc>
        <w:tc>
          <w:tcPr>
            <w:tcW w:w="3384"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Details</w:t>
            </w:r>
          </w:p>
        </w:tc>
      </w:tr>
      <w:tr w:rsidR="00F73317" w:rsidRPr="00F36EB0" w:rsidTr="00956BA4">
        <w:tc>
          <w:tcPr>
            <w:tcW w:w="1800"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Course Title</w:t>
            </w:r>
          </w:p>
        </w:tc>
        <w:tc>
          <w:tcPr>
            <w:tcW w:w="3384"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Microeconomics</w:t>
            </w:r>
          </w:p>
        </w:tc>
        <w:tc>
          <w:tcPr>
            <w:tcW w:w="1800"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Course Code</w:t>
            </w:r>
          </w:p>
        </w:tc>
        <w:tc>
          <w:tcPr>
            <w:tcW w:w="3384"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122</w:t>
            </w:r>
          </w:p>
        </w:tc>
      </w:tr>
      <w:tr w:rsidR="00F73317" w:rsidRPr="00F36EB0" w:rsidTr="00956BA4">
        <w:tc>
          <w:tcPr>
            <w:tcW w:w="1800"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Course Type</w:t>
            </w:r>
          </w:p>
        </w:tc>
        <w:tc>
          <w:tcPr>
            <w:tcW w:w="3384"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General Education</w:t>
            </w:r>
          </w:p>
        </w:tc>
        <w:tc>
          <w:tcPr>
            <w:tcW w:w="1800"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ISCED Code</w:t>
            </w:r>
          </w:p>
        </w:tc>
        <w:tc>
          <w:tcPr>
            <w:tcW w:w="3384"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0311-122</w:t>
            </w:r>
          </w:p>
        </w:tc>
      </w:tr>
      <w:tr w:rsidR="00F73317" w:rsidRPr="00F36EB0" w:rsidTr="00956BA4">
        <w:tc>
          <w:tcPr>
            <w:tcW w:w="1800"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Course Status</w:t>
            </w:r>
          </w:p>
        </w:tc>
        <w:tc>
          <w:tcPr>
            <w:tcW w:w="3384"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Theory</w:t>
            </w:r>
          </w:p>
        </w:tc>
        <w:tc>
          <w:tcPr>
            <w:tcW w:w="1800"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Credit Value</w:t>
            </w:r>
          </w:p>
        </w:tc>
        <w:tc>
          <w:tcPr>
            <w:tcW w:w="3384"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3.0</w:t>
            </w:r>
          </w:p>
        </w:tc>
      </w:tr>
      <w:tr w:rsidR="00F73317" w:rsidRPr="00F36EB0" w:rsidTr="00956BA4">
        <w:tc>
          <w:tcPr>
            <w:tcW w:w="1800"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Contact Hours</w:t>
            </w:r>
          </w:p>
        </w:tc>
        <w:tc>
          <w:tcPr>
            <w:tcW w:w="3384"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3.0 hours per week</w:t>
            </w:r>
          </w:p>
        </w:tc>
        <w:tc>
          <w:tcPr>
            <w:tcW w:w="1800"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Total Marks</w:t>
            </w:r>
          </w:p>
        </w:tc>
        <w:tc>
          <w:tcPr>
            <w:tcW w:w="3384"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100</w:t>
            </w:r>
          </w:p>
        </w:tc>
      </w:tr>
    </w:tbl>
    <w:p w:rsidR="009324FC" w:rsidRPr="00F73317" w:rsidRDefault="009324FC" w:rsidP="00022BFC">
      <w:pPr>
        <w:pStyle w:val="Heading1"/>
        <w:spacing w:before="0"/>
        <w:jc w:val="both"/>
        <w:rPr>
          <w:rFonts w:ascii="Times New Roman" w:hAnsi="Times New Roman" w:cs="Times New Roman"/>
          <w:color w:val="002060"/>
          <w:sz w:val="24"/>
          <w:szCs w:val="24"/>
        </w:rPr>
      </w:pPr>
    </w:p>
    <w:p w:rsidR="009324FC" w:rsidRPr="00F73317" w:rsidRDefault="009324FC" w:rsidP="00022BFC">
      <w:pPr>
        <w:pStyle w:val="Heading1"/>
        <w:spacing w:before="0"/>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2. Course Rationale</w:t>
      </w:r>
    </w:p>
    <w:p w:rsidR="009324FC" w:rsidRPr="00F73317" w:rsidRDefault="009324FC" w:rsidP="00022BFC">
      <w:pPr>
        <w:spacing w:after="0"/>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 xml:space="preserve">The study of economics deals with the choices and decisions people make when managing scarce resources. Microeconomics examines the economic decisions of individual consumers and producers, including how they allocate resources, respond to prices, and make trade-offs. It focuses on individual markets and the interactions among buyers and sellers. Through this course, students </w:t>
      </w:r>
      <w:r w:rsidR="00956BA4">
        <w:rPr>
          <w:rFonts w:ascii="Times New Roman" w:hAnsi="Times New Roman" w:cs="Times New Roman"/>
          <w:color w:val="002060"/>
          <w:sz w:val="24"/>
          <w:szCs w:val="24"/>
        </w:rPr>
        <w:t>will</w:t>
      </w:r>
      <w:r w:rsidRPr="00F73317">
        <w:rPr>
          <w:rFonts w:ascii="Times New Roman" w:hAnsi="Times New Roman" w:cs="Times New Roman"/>
          <w:color w:val="002060"/>
          <w:sz w:val="24"/>
          <w:szCs w:val="24"/>
        </w:rPr>
        <w:t xml:space="preserve"> be able to examine how and why these decisions are made and how they influence outcomes in an economy.</w:t>
      </w:r>
    </w:p>
    <w:p w:rsidR="009324FC" w:rsidRPr="00F73317" w:rsidRDefault="009324FC" w:rsidP="00022BFC">
      <w:pPr>
        <w:pStyle w:val="Heading1"/>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3. Course Objectives</w:t>
      </w:r>
    </w:p>
    <w:p w:rsidR="009324FC" w:rsidRPr="00F73317" w:rsidRDefault="009324FC" w:rsidP="00022BFC">
      <w:pPr>
        <w:spacing w:before="240" w:after="0"/>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The course aims to develop students’ understanding of the basic concepts and principles of microeconomics and their application to the decisions of consumers and producers within the wider economic system. It introduces scarcity and choice, demand and supply, production, costs, market structures, factor markets, and the role of government in promoting efficiency and equity.</w:t>
      </w:r>
    </w:p>
    <w:p w:rsidR="009324FC" w:rsidRPr="00F73317" w:rsidRDefault="009324FC" w:rsidP="00022BFC">
      <w:pPr>
        <w:pStyle w:val="Heading1"/>
        <w:spacing w:before="240"/>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4. Course Learning Outcomes (CLOs)</w:t>
      </w:r>
    </w:p>
    <w:p w:rsidR="009324FC" w:rsidRPr="00F73317" w:rsidRDefault="009324FC" w:rsidP="00022BFC">
      <w:pPr>
        <w:spacing w:after="80"/>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 xml:space="preserve">Upon successful completion of this course, students </w:t>
      </w:r>
      <w:r w:rsidR="00956BA4">
        <w:rPr>
          <w:rFonts w:ascii="Times New Roman" w:hAnsi="Times New Roman" w:cs="Times New Roman"/>
          <w:color w:val="002060"/>
          <w:sz w:val="24"/>
          <w:szCs w:val="24"/>
        </w:rPr>
        <w:t>will</w:t>
      </w:r>
      <w:r w:rsidRPr="00F73317">
        <w:rPr>
          <w:rFonts w:ascii="Times New Roman" w:hAnsi="Times New Roman" w:cs="Times New Roman"/>
          <w:color w:val="002060"/>
          <w:sz w:val="24"/>
          <w:szCs w:val="24"/>
        </w:rPr>
        <w:t xml:space="preserve"> be able to:</w:t>
      </w:r>
    </w:p>
    <w:tbl>
      <w:tblPr>
        <w:tblStyle w:val="TableGrid"/>
        <w:tblW w:w="9558" w:type="dxa"/>
        <w:tblLook w:val="04A0" w:firstRow="1" w:lastRow="0" w:firstColumn="1" w:lastColumn="0" w:noHBand="0" w:noVBand="1"/>
      </w:tblPr>
      <w:tblGrid>
        <w:gridCol w:w="921"/>
        <w:gridCol w:w="6297"/>
        <w:gridCol w:w="2340"/>
      </w:tblGrid>
      <w:tr w:rsidR="00F73317" w:rsidRPr="00F36EB0" w:rsidTr="00F36EB0">
        <w:tc>
          <w:tcPr>
            <w:tcW w:w="921"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CLO</w:t>
            </w:r>
          </w:p>
        </w:tc>
        <w:tc>
          <w:tcPr>
            <w:tcW w:w="6297"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Measurable course learning outcome</w:t>
            </w:r>
          </w:p>
        </w:tc>
        <w:tc>
          <w:tcPr>
            <w:tcW w:w="2340"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Indicative Bloom’s level</w:t>
            </w:r>
          </w:p>
        </w:tc>
      </w:tr>
      <w:tr w:rsidR="00F73317" w:rsidRPr="00F36EB0" w:rsidTr="00F36EB0">
        <w:tc>
          <w:tcPr>
            <w:tcW w:w="921"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CLO1</w:t>
            </w:r>
          </w:p>
        </w:tc>
        <w:tc>
          <w:tcPr>
            <w:tcW w:w="6297"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Explain the preliminary concepts, scope and basic principles of microeconomics.</w:t>
            </w:r>
          </w:p>
        </w:tc>
        <w:tc>
          <w:tcPr>
            <w:tcW w:w="2340"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Understand</w:t>
            </w:r>
          </w:p>
        </w:tc>
      </w:tr>
      <w:tr w:rsidR="00F73317" w:rsidRPr="00F36EB0" w:rsidTr="00F36EB0">
        <w:tc>
          <w:tcPr>
            <w:tcW w:w="921"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CLO2</w:t>
            </w:r>
          </w:p>
        </w:tc>
        <w:tc>
          <w:tcPr>
            <w:tcW w:w="6297"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Compare the role of comparative advantage in explaining gains from trade.</w:t>
            </w:r>
          </w:p>
        </w:tc>
        <w:tc>
          <w:tcPr>
            <w:tcW w:w="2340"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 xml:space="preserve">Understand / </w:t>
            </w:r>
            <w:proofErr w:type="spellStart"/>
            <w:r w:rsidRPr="00F36EB0">
              <w:rPr>
                <w:rFonts w:ascii="Times New Roman" w:hAnsi="Times New Roman" w:cs="Times New Roman"/>
                <w:color w:val="002060"/>
                <w:sz w:val="20"/>
                <w:szCs w:val="20"/>
              </w:rPr>
              <w:t>Analyse</w:t>
            </w:r>
            <w:proofErr w:type="spellEnd"/>
          </w:p>
        </w:tc>
      </w:tr>
      <w:tr w:rsidR="00F73317" w:rsidRPr="00F36EB0" w:rsidTr="00F36EB0">
        <w:tc>
          <w:tcPr>
            <w:tcW w:w="921"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CLO3</w:t>
            </w:r>
          </w:p>
        </w:tc>
        <w:tc>
          <w:tcPr>
            <w:tcW w:w="6297"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Illustrate how demand and supply determine market equilibrium and apply elasticity concepts to real-life situations.</w:t>
            </w:r>
          </w:p>
        </w:tc>
        <w:tc>
          <w:tcPr>
            <w:tcW w:w="2340"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 xml:space="preserve">Apply / </w:t>
            </w:r>
            <w:proofErr w:type="spellStart"/>
            <w:r w:rsidRPr="00F36EB0">
              <w:rPr>
                <w:rFonts w:ascii="Times New Roman" w:hAnsi="Times New Roman" w:cs="Times New Roman"/>
                <w:color w:val="002060"/>
                <w:sz w:val="20"/>
                <w:szCs w:val="20"/>
              </w:rPr>
              <w:t>Analyse</w:t>
            </w:r>
            <w:proofErr w:type="spellEnd"/>
          </w:p>
        </w:tc>
      </w:tr>
      <w:tr w:rsidR="00F73317" w:rsidRPr="00F36EB0" w:rsidTr="00F36EB0">
        <w:tc>
          <w:tcPr>
            <w:tcW w:w="921"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CLO4</w:t>
            </w:r>
          </w:p>
        </w:tc>
        <w:tc>
          <w:tcPr>
            <w:tcW w:w="6297"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 xml:space="preserve">Assess consumer </w:t>
            </w:r>
            <w:proofErr w:type="spellStart"/>
            <w:r w:rsidRPr="00F36EB0">
              <w:rPr>
                <w:rFonts w:ascii="Times New Roman" w:hAnsi="Times New Roman" w:cs="Times New Roman"/>
                <w:color w:val="002060"/>
                <w:sz w:val="20"/>
                <w:szCs w:val="20"/>
              </w:rPr>
              <w:t>behaviour</w:t>
            </w:r>
            <w:proofErr w:type="spellEnd"/>
            <w:r w:rsidRPr="00F36EB0">
              <w:rPr>
                <w:rFonts w:ascii="Times New Roman" w:hAnsi="Times New Roman" w:cs="Times New Roman"/>
                <w:color w:val="002060"/>
                <w:sz w:val="20"/>
                <w:szCs w:val="20"/>
              </w:rPr>
              <w:t xml:space="preserve"> and the role of prices in allocating scarce resources, including the consequences of price controls.</w:t>
            </w:r>
          </w:p>
        </w:tc>
        <w:tc>
          <w:tcPr>
            <w:tcW w:w="2340" w:type="dxa"/>
          </w:tcPr>
          <w:p w:rsidR="009324FC" w:rsidRPr="00F36EB0" w:rsidRDefault="009324FC" w:rsidP="00022BFC">
            <w:pPr>
              <w:spacing w:line="276" w:lineRule="auto"/>
              <w:jc w:val="both"/>
              <w:rPr>
                <w:rFonts w:ascii="Times New Roman" w:hAnsi="Times New Roman" w:cs="Times New Roman"/>
                <w:color w:val="002060"/>
                <w:sz w:val="20"/>
                <w:szCs w:val="20"/>
              </w:rPr>
            </w:pPr>
            <w:proofErr w:type="spellStart"/>
            <w:r w:rsidRPr="00F36EB0">
              <w:rPr>
                <w:rFonts w:ascii="Times New Roman" w:hAnsi="Times New Roman" w:cs="Times New Roman"/>
                <w:color w:val="002060"/>
                <w:sz w:val="20"/>
                <w:szCs w:val="20"/>
              </w:rPr>
              <w:t>Analyse</w:t>
            </w:r>
            <w:proofErr w:type="spellEnd"/>
            <w:r w:rsidRPr="00F36EB0">
              <w:rPr>
                <w:rFonts w:ascii="Times New Roman" w:hAnsi="Times New Roman" w:cs="Times New Roman"/>
                <w:color w:val="002060"/>
                <w:sz w:val="20"/>
                <w:szCs w:val="20"/>
              </w:rPr>
              <w:t xml:space="preserve"> / Evaluate</w:t>
            </w:r>
          </w:p>
        </w:tc>
      </w:tr>
      <w:tr w:rsidR="00F73317" w:rsidRPr="00F36EB0" w:rsidTr="00F36EB0">
        <w:tc>
          <w:tcPr>
            <w:tcW w:w="921"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CLO5</w:t>
            </w:r>
          </w:p>
        </w:tc>
        <w:tc>
          <w:tcPr>
            <w:tcW w:w="6297"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Calculate production costs and explain how profit-</w:t>
            </w:r>
            <w:proofErr w:type="spellStart"/>
            <w:r w:rsidRPr="00F36EB0">
              <w:rPr>
                <w:rFonts w:ascii="Times New Roman" w:hAnsi="Times New Roman" w:cs="Times New Roman"/>
                <w:color w:val="002060"/>
                <w:sz w:val="20"/>
                <w:szCs w:val="20"/>
              </w:rPr>
              <w:t>maximising</w:t>
            </w:r>
            <w:proofErr w:type="spellEnd"/>
            <w:r w:rsidRPr="00F36EB0">
              <w:rPr>
                <w:rFonts w:ascii="Times New Roman" w:hAnsi="Times New Roman" w:cs="Times New Roman"/>
                <w:color w:val="002060"/>
                <w:sz w:val="20"/>
                <w:szCs w:val="20"/>
              </w:rPr>
              <w:t xml:space="preserve"> firms determine output in the short run and long run.</w:t>
            </w:r>
          </w:p>
        </w:tc>
        <w:tc>
          <w:tcPr>
            <w:tcW w:w="2340"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 xml:space="preserve">Apply / </w:t>
            </w:r>
            <w:proofErr w:type="spellStart"/>
            <w:r w:rsidRPr="00F36EB0">
              <w:rPr>
                <w:rFonts w:ascii="Times New Roman" w:hAnsi="Times New Roman" w:cs="Times New Roman"/>
                <w:color w:val="002060"/>
                <w:sz w:val="20"/>
                <w:szCs w:val="20"/>
              </w:rPr>
              <w:t>Analyse</w:t>
            </w:r>
            <w:proofErr w:type="spellEnd"/>
          </w:p>
        </w:tc>
      </w:tr>
      <w:tr w:rsidR="00F73317" w:rsidRPr="00F36EB0" w:rsidTr="00F36EB0">
        <w:tc>
          <w:tcPr>
            <w:tcW w:w="921"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CLO6</w:t>
            </w:r>
          </w:p>
        </w:tc>
        <w:tc>
          <w:tcPr>
            <w:tcW w:w="6297" w:type="dxa"/>
          </w:tcPr>
          <w:p w:rsidR="009324FC" w:rsidRPr="00F36EB0" w:rsidRDefault="009324FC" w:rsidP="00022BFC">
            <w:pPr>
              <w:spacing w:line="276" w:lineRule="auto"/>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Distinguish between perfect competition and imperfect competition and explain welfare loss, market power, production decisions and factor pricing.</w:t>
            </w:r>
          </w:p>
        </w:tc>
        <w:tc>
          <w:tcPr>
            <w:tcW w:w="2340" w:type="dxa"/>
          </w:tcPr>
          <w:p w:rsidR="009324FC" w:rsidRPr="00F36EB0" w:rsidRDefault="009324FC" w:rsidP="00022BFC">
            <w:pPr>
              <w:spacing w:line="276" w:lineRule="auto"/>
              <w:jc w:val="both"/>
              <w:rPr>
                <w:rFonts w:ascii="Times New Roman" w:hAnsi="Times New Roman" w:cs="Times New Roman"/>
                <w:color w:val="002060"/>
                <w:sz w:val="20"/>
                <w:szCs w:val="20"/>
              </w:rPr>
            </w:pPr>
            <w:proofErr w:type="spellStart"/>
            <w:r w:rsidRPr="00F36EB0">
              <w:rPr>
                <w:rFonts w:ascii="Times New Roman" w:hAnsi="Times New Roman" w:cs="Times New Roman"/>
                <w:color w:val="002060"/>
                <w:sz w:val="20"/>
                <w:szCs w:val="20"/>
              </w:rPr>
              <w:t>Analyse</w:t>
            </w:r>
            <w:proofErr w:type="spellEnd"/>
            <w:r w:rsidRPr="00F36EB0">
              <w:rPr>
                <w:rFonts w:ascii="Times New Roman" w:hAnsi="Times New Roman" w:cs="Times New Roman"/>
                <w:color w:val="002060"/>
                <w:sz w:val="20"/>
                <w:szCs w:val="20"/>
              </w:rPr>
              <w:t xml:space="preserve"> / Evaluate</w:t>
            </w:r>
          </w:p>
        </w:tc>
      </w:tr>
    </w:tbl>
    <w:p w:rsidR="009324FC" w:rsidRPr="00F73317" w:rsidRDefault="009324FC" w:rsidP="00022BFC">
      <w:pPr>
        <w:pStyle w:val="Heading1"/>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lastRenderedPageBreak/>
        <w:t xml:space="preserve">5. </w:t>
      </w:r>
      <w:proofErr w:type="spellStart"/>
      <w:r w:rsidRPr="00F73317">
        <w:rPr>
          <w:rFonts w:ascii="Times New Roman" w:hAnsi="Times New Roman" w:cs="Times New Roman"/>
          <w:color w:val="002060"/>
          <w:sz w:val="24"/>
          <w:szCs w:val="24"/>
        </w:rPr>
        <w:t>Programme</w:t>
      </w:r>
      <w:proofErr w:type="spellEnd"/>
      <w:r w:rsidRPr="00F73317">
        <w:rPr>
          <w:rFonts w:ascii="Times New Roman" w:hAnsi="Times New Roman" w:cs="Times New Roman"/>
          <w:color w:val="002060"/>
          <w:sz w:val="24"/>
          <w:szCs w:val="24"/>
        </w:rPr>
        <w:t xml:space="preserve"> Learning Outcomes (PLOs) and CLO–PLO Mapping</w:t>
      </w:r>
    </w:p>
    <w:p w:rsidR="00022BFC" w:rsidRPr="00F73317" w:rsidRDefault="00022BFC" w:rsidP="00022BFC">
      <w:pPr>
        <w:spacing w:after="80"/>
        <w:jc w:val="both"/>
        <w:rPr>
          <w:rFonts w:ascii="Times New Roman" w:hAnsi="Times New Roman" w:cs="Times New Roman"/>
          <w:color w:val="002060"/>
          <w:sz w:val="24"/>
          <w:szCs w:val="24"/>
        </w:rPr>
      </w:pPr>
    </w:p>
    <w:tbl>
      <w:tblPr>
        <w:tblStyle w:val="TableGrid"/>
        <w:tblW w:w="0" w:type="auto"/>
        <w:tblLook w:val="04A0" w:firstRow="1" w:lastRow="0" w:firstColumn="1" w:lastColumn="0" w:noHBand="0" w:noVBand="1"/>
      </w:tblPr>
      <w:tblGrid>
        <w:gridCol w:w="3542"/>
        <w:gridCol w:w="6034"/>
      </w:tblGrid>
      <w:tr w:rsidR="00F73317" w:rsidRPr="00F36EB0" w:rsidTr="00F36EB0">
        <w:tc>
          <w:tcPr>
            <w:tcW w:w="1728"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PLO Code</w:t>
            </w:r>
          </w:p>
        </w:tc>
        <w:tc>
          <w:tcPr>
            <w:tcW w:w="8640" w:type="dxa"/>
          </w:tcPr>
          <w:p w:rsidR="00022BFC" w:rsidRPr="00F36EB0" w:rsidRDefault="00022BFC" w:rsidP="00022BFC">
            <w:pPr>
              <w:jc w:val="both"/>
              <w:rPr>
                <w:rFonts w:ascii="Times New Roman" w:hAnsi="Times New Roman" w:cs="Times New Roman"/>
                <w:color w:val="002060"/>
                <w:sz w:val="20"/>
                <w:szCs w:val="20"/>
              </w:rPr>
            </w:pPr>
            <w:proofErr w:type="spellStart"/>
            <w:r w:rsidRPr="00F36EB0">
              <w:rPr>
                <w:rFonts w:ascii="Times New Roman" w:hAnsi="Times New Roman" w:cs="Times New Roman"/>
                <w:b/>
                <w:color w:val="002060"/>
                <w:sz w:val="20"/>
                <w:szCs w:val="20"/>
              </w:rPr>
              <w:t>Programme</w:t>
            </w:r>
            <w:proofErr w:type="spellEnd"/>
            <w:r w:rsidRPr="00F36EB0">
              <w:rPr>
                <w:rFonts w:ascii="Times New Roman" w:hAnsi="Times New Roman" w:cs="Times New Roman"/>
                <w:b/>
                <w:color w:val="002060"/>
                <w:sz w:val="20"/>
                <w:szCs w:val="20"/>
              </w:rPr>
              <w:t xml:space="preserve"> Learning Outcome</w:t>
            </w:r>
          </w:p>
        </w:tc>
      </w:tr>
      <w:tr w:rsidR="00F73317" w:rsidRPr="00F36EB0" w:rsidTr="00F36EB0">
        <w:tc>
          <w:tcPr>
            <w:tcW w:w="51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PLO1</w:t>
            </w:r>
          </w:p>
        </w:tc>
        <w:tc>
          <w:tcPr>
            <w:tcW w:w="51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Demonstrate competency in the underlying concepts, theory and tools taught in the core undergraduate curriculum.</w:t>
            </w:r>
          </w:p>
        </w:tc>
      </w:tr>
      <w:tr w:rsidR="00F73317" w:rsidRPr="00F36EB0" w:rsidTr="00F36EB0">
        <w:tc>
          <w:tcPr>
            <w:tcW w:w="51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PLO2</w:t>
            </w:r>
          </w:p>
        </w:tc>
        <w:tc>
          <w:tcPr>
            <w:tcW w:w="51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Understand theoretical and practical knowledge of accounting and information systems to solve business problems.</w:t>
            </w:r>
          </w:p>
        </w:tc>
      </w:tr>
      <w:tr w:rsidR="00F73317" w:rsidRPr="00F36EB0" w:rsidTr="00F36EB0">
        <w:tc>
          <w:tcPr>
            <w:tcW w:w="51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PLO3</w:t>
            </w:r>
          </w:p>
        </w:tc>
        <w:tc>
          <w:tcPr>
            <w:tcW w:w="51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Apply analytical and critical thinking techniques to identify and analyze problems, develop viable alternatives, and make fruitful outcomes.</w:t>
            </w:r>
          </w:p>
        </w:tc>
      </w:tr>
      <w:tr w:rsidR="00F73317" w:rsidRPr="00F36EB0" w:rsidTr="00F36EB0">
        <w:tc>
          <w:tcPr>
            <w:tcW w:w="51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PLO4</w:t>
            </w:r>
          </w:p>
        </w:tc>
        <w:tc>
          <w:tcPr>
            <w:tcW w:w="51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Apply appropriate quantitative and qualitative techniques in solving business problems.</w:t>
            </w:r>
          </w:p>
        </w:tc>
      </w:tr>
      <w:tr w:rsidR="00F73317" w:rsidRPr="00F36EB0" w:rsidTr="00F36EB0">
        <w:tc>
          <w:tcPr>
            <w:tcW w:w="51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PLO5</w:t>
            </w:r>
          </w:p>
        </w:tc>
        <w:tc>
          <w:tcPr>
            <w:tcW w:w="51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Analyze and present cases and business problem through a variety of appropriate technological competencies.</w:t>
            </w:r>
          </w:p>
        </w:tc>
      </w:tr>
      <w:tr w:rsidR="00F73317" w:rsidRPr="00F36EB0" w:rsidTr="00F36EB0">
        <w:tc>
          <w:tcPr>
            <w:tcW w:w="51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PLO6</w:t>
            </w:r>
          </w:p>
        </w:tc>
        <w:tc>
          <w:tcPr>
            <w:tcW w:w="51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Analyze ethical conflicts and social responsibility issues involving different stakeholders.</w:t>
            </w:r>
          </w:p>
        </w:tc>
      </w:tr>
      <w:tr w:rsidR="00F73317" w:rsidRPr="00F36EB0" w:rsidTr="00F36EB0">
        <w:tc>
          <w:tcPr>
            <w:tcW w:w="51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PLO7</w:t>
            </w:r>
          </w:p>
        </w:tc>
        <w:tc>
          <w:tcPr>
            <w:tcW w:w="51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Analyze relevant domestic and global factors that influence decision-making.</w:t>
            </w:r>
          </w:p>
        </w:tc>
      </w:tr>
      <w:tr w:rsidR="00F73317" w:rsidRPr="00F36EB0" w:rsidTr="00F36EB0">
        <w:tc>
          <w:tcPr>
            <w:tcW w:w="51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PLO8</w:t>
            </w:r>
          </w:p>
        </w:tc>
        <w:tc>
          <w:tcPr>
            <w:tcW w:w="51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Evaluate viable alternatives and make effective solutions relating to business, ethics, and community engagement.</w:t>
            </w:r>
          </w:p>
        </w:tc>
      </w:tr>
      <w:tr w:rsidR="00F73317" w:rsidRPr="00F36EB0" w:rsidTr="00F36EB0">
        <w:tc>
          <w:tcPr>
            <w:tcW w:w="51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PLO9</w:t>
            </w:r>
          </w:p>
        </w:tc>
        <w:tc>
          <w:tcPr>
            <w:tcW w:w="51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Create business documents to facilitate in dynamic resolution and sustainability.</w:t>
            </w:r>
          </w:p>
        </w:tc>
      </w:tr>
    </w:tbl>
    <w:p w:rsidR="00022BFC" w:rsidRPr="00F73317" w:rsidRDefault="00022BFC" w:rsidP="00022BFC">
      <w:pPr>
        <w:spacing w:after="20"/>
        <w:jc w:val="both"/>
        <w:rPr>
          <w:rFonts w:ascii="Times New Roman" w:hAnsi="Times New Roman" w:cs="Times New Roman"/>
          <w:color w:val="002060"/>
          <w:sz w:val="24"/>
          <w:szCs w:val="24"/>
        </w:rPr>
      </w:pPr>
    </w:p>
    <w:p w:rsidR="00022BFC" w:rsidRPr="00F73317" w:rsidRDefault="00022BFC" w:rsidP="00022BFC">
      <w:pPr>
        <w:pStyle w:val="Heading2"/>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5.1 CLO–PLO Mapping Matrix (check-mark approach)</w:t>
      </w:r>
    </w:p>
    <w:tbl>
      <w:tblPr>
        <w:tblStyle w:val="TableGrid"/>
        <w:tblW w:w="0" w:type="auto"/>
        <w:tblLook w:val="04A0" w:firstRow="1" w:lastRow="0" w:firstColumn="1" w:lastColumn="0" w:noHBand="0" w:noVBand="1"/>
      </w:tblPr>
      <w:tblGrid>
        <w:gridCol w:w="963"/>
        <w:gridCol w:w="957"/>
        <w:gridCol w:w="957"/>
        <w:gridCol w:w="957"/>
        <w:gridCol w:w="957"/>
        <w:gridCol w:w="957"/>
        <w:gridCol w:w="957"/>
        <w:gridCol w:w="957"/>
        <w:gridCol w:w="957"/>
        <w:gridCol w:w="957"/>
      </w:tblGrid>
      <w:tr w:rsidR="00F73317" w:rsidRPr="00F36EB0" w:rsidTr="00956BA4">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CLO</w:t>
            </w: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PLO1</w:t>
            </w: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PLO2</w:t>
            </w: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PLO3</w:t>
            </w: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PLO4</w:t>
            </w: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PLO5</w:t>
            </w: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PLO6</w:t>
            </w: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PLO7</w:t>
            </w: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PLO8</w:t>
            </w: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PLO9</w:t>
            </w:r>
          </w:p>
        </w:tc>
      </w:tr>
      <w:tr w:rsidR="00F73317" w:rsidRPr="00F36EB0" w:rsidTr="00956BA4">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CLO1</w:t>
            </w: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p>
        </w:tc>
      </w:tr>
      <w:tr w:rsidR="00F73317" w:rsidRPr="00F36EB0" w:rsidTr="00956BA4">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CLO2</w:t>
            </w: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p>
        </w:tc>
      </w:tr>
      <w:tr w:rsidR="00F73317" w:rsidRPr="00F36EB0" w:rsidTr="00956BA4">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CLO3</w:t>
            </w: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p>
        </w:tc>
      </w:tr>
      <w:tr w:rsidR="00F73317" w:rsidRPr="00F36EB0" w:rsidTr="00956BA4">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CLO4</w:t>
            </w: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p>
        </w:tc>
      </w:tr>
      <w:tr w:rsidR="00F73317" w:rsidRPr="00F36EB0" w:rsidTr="00956BA4">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CLO5</w:t>
            </w: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p>
        </w:tc>
      </w:tr>
      <w:tr w:rsidR="00F73317" w:rsidRPr="00F36EB0" w:rsidTr="00956BA4">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CLO6</w:t>
            </w: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022" w:type="dxa"/>
          </w:tcPr>
          <w:p w:rsidR="00022BFC" w:rsidRPr="00F36EB0" w:rsidRDefault="00022BFC" w:rsidP="00022BFC">
            <w:pPr>
              <w:jc w:val="both"/>
              <w:rPr>
                <w:rFonts w:ascii="Times New Roman" w:hAnsi="Times New Roman" w:cs="Times New Roman"/>
                <w:color w:val="002060"/>
                <w:sz w:val="20"/>
                <w:szCs w:val="20"/>
              </w:rPr>
            </w:pPr>
          </w:p>
        </w:tc>
        <w:tc>
          <w:tcPr>
            <w:tcW w:w="1022" w:type="dxa"/>
          </w:tcPr>
          <w:p w:rsidR="00022BFC" w:rsidRPr="00F36EB0" w:rsidRDefault="00022BFC" w:rsidP="00022BFC">
            <w:pPr>
              <w:jc w:val="both"/>
              <w:rPr>
                <w:rFonts w:ascii="Times New Roman" w:hAnsi="Times New Roman" w:cs="Times New Roman"/>
                <w:color w:val="002060"/>
                <w:sz w:val="20"/>
                <w:szCs w:val="20"/>
              </w:rPr>
            </w:pPr>
          </w:p>
        </w:tc>
      </w:tr>
    </w:tbl>
    <w:p w:rsidR="00022BFC" w:rsidRPr="00F73317" w:rsidRDefault="00022BFC" w:rsidP="00022BFC">
      <w:pPr>
        <w:spacing w:after="20"/>
        <w:jc w:val="both"/>
        <w:rPr>
          <w:rFonts w:ascii="Times New Roman" w:hAnsi="Times New Roman" w:cs="Times New Roman"/>
          <w:color w:val="002060"/>
          <w:sz w:val="24"/>
          <w:szCs w:val="24"/>
        </w:rPr>
      </w:pPr>
    </w:p>
    <w:p w:rsidR="00022BFC" w:rsidRPr="00F73317" w:rsidRDefault="00022BFC" w:rsidP="00022BFC">
      <w:pPr>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Mapping note: A check mark (√) indicates a direct contribution of the CLO to the stated PLO. A blank cell indicates that no direct alignment is claimed</w:t>
      </w:r>
    </w:p>
    <w:p w:rsidR="00022BFC" w:rsidRPr="00F73317" w:rsidRDefault="00022BFC" w:rsidP="00022BFC">
      <w:pPr>
        <w:pStyle w:val="Heading1"/>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6. Course Contents and Weekly Teaching Plan</w:t>
      </w:r>
    </w:p>
    <w:p w:rsidR="00022BFC" w:rsidRPr="00F73317" w:rsidRDefault="00022BFC" w:rsidP="00022BFC">
      <w:pPr>
        <w:spacing w:after="80"/>
        <w:jc w:val="both"/>
        <w:rPr>
          <w:rFonts w:ascii="Times New Roman" w:hAnsi="Times New Roman" w:cs="Times New Roman"/>
          <w:color w:val="002060"/>
          <w:sz w:val="24"/>
          <w:szCs w:val="24"/>
        </w:rPr>
      </w:pPr>
    </w:p>
    <w:tbl>
      <w:tblPr>
        <w:tblStyle w:val="TableGrid"/>
        <w:tblW w:w="0" w:type="auto"/>
        <w:tblLook w:val="04A0" w:firstRow="1" w:lastRow="0" w:firstColumn="1" w:lastColumn="0" w:noHBand="0" w:noVBand="1"/>
      </w:tblPr>
      <w:tblGrid>
        <w:gridCol w:w="705"/>
        <w:gridCol w:w="1532"/>
        <w:gridCol w:w="3430"/>
        <w:gridCol w:w="716"/>
        <w:gridCol w:w="1546"/>
        <w:gridCol w:w="1647"/>
      </w:tblGrid>
      <w:tr w:rsidR="00F73317" w:rsidRPr="00F36EB0" w:rsidTr="00956BA4">
        <w:tc>
          <w:tcPr>
            <w:tcW w:w="621"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Week</w:t>
            </w:r>
          </w:p>
        </w:tc>
        <w:tc>
          <w:tcPr>
            <w:tcW w:w="1543"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Topic/unit</w:t>
            </w:r>
          </w:p>
        </w:tc>
        <w:tc>
          <w:tcPr>
            <w:tcW w:w="348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Indicative coverage</w:t>
            </w:r>
          </w:p>
        </w:tc>
        <w:tc>
          <w:tcPr>
            <w:tcW w:w="7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CLO</w:t>
            </w:r>
          </w:p>
        </w:tc>
        <w:tc>
          <w:tcPr>
            <w:tcW w:w="155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Teaching approach</w:t>
            </w:r>
          </w:p>
        </w:tc>
        <w:tc>
          <w:tcPr>
            <w:tcW w:w="1659"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Learning evidence / assessment</w:t>
            </w:r>
          </w:p>
        </w:tc>
      </w:tr>
      <w:tr w:rsidR="00F73317" w:rsidRPr="00F36EB0" w:rsidTr="00956BA4">
        <w:tc>
          <w:tcPr>
            <w:tcW w:w="621"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1</w:t>
            </w:r>
          </w:p>
        </w:tc>
        <w:tc>
          <w:tcPr>
            <w:tcW w:w="1543"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Basic concepts and ideas</w:t>
            </w:r>
          </w:p>
        </w:tc>
        <w:tc>
          <w:tcPr>
            <w:tcW w:w="348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Definition and relevance of economics; positive and normative economics; scarcity, choice and opportunity cost.</w:t>
            </w:r>
          </w:p>
        </w:tc>
        <w:tc>
          <w:tcPr>
            <w:tcW w:w="7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CLO1</w:t>
            </w:r>
          </w:p>
        </w:tc>
        <w:tc>
          <w:tcPr>
            <w:tcW w:w="155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Lecture, guided discussion</w:t>
            </w:r>
          </w:p>
        </w:tc>
        <w:tc>
          <w:tcPr>
            <w:tcW w:w="1659"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Diagnostic questions / short quiz</w:t>
            </w:r>
          </w:p>
        </w:tc>
      </w:tr>
      <w:tr w:rsidR="00F73317" w:rsidRPr="00F36EB0" w:rsidTr="00956BA4">
        <w:tc>
          <w:tcPr>
            <w:tcW w:w="621"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2</w:t>
            </w:r>
          </w:p>
        </w:tc>
        <w:tc>
          <w:tcPr>
            <w:tcW w:w="1543"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Basic concepts and ideas</w:t>
            </w:r>
          </w:p>
        </w:tc>
        <w:tc>
          <w:tcPr>
            <w:tcW w:w="348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Production possibility frontier; preliminary introduction to schools of economic thought: Classical, Neoclassical, Keynesian and Marxist; microeconomics and macroeconomics.</w:t>
            </w:r>
          </w:p>
        </w:tc>
        <w:tc>
          <w:tcPr>
            <w:tcW w:w="7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CLO1</w:t>
            </w:r>
            <w:r w:rsidR="00F22C60">
              <w:rPr>
                <w:rFonts w:ascii="Times New Roman" w:hAnsi="Times New Roman" w:cs="Times New Roman"/>
                <w:color w:val="002060"/>
                <w:sz w:val="20"/>
                <w:szCs w:val="20"/>
              </w:rPr>
              <w:t xml:space="preserve"> and CLO2</w:t>
            </w:r>
          </w:p>
        </w:tc>
        <w:tc>
          <w:tcPr>
            <w:tcW w:w="155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Lecture, diagram exercise</w:t>
            </w:r>
          </w:p>
        </w:tc>
        <w:tc>
          <w:tcPr>
            <w:tcW w:w="1659"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Quiz / short written response</w:t>
            </w:r>
          </w:p>
        </w:tc>
      </w:tr>
      <w:tr w:rsidR="00F73317" w:rsidRPr="00F36EB0" w:rsidTr="00956BA4">
        <w:tc>
          <w:tcPr>
            <w:tcW w:w="621"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3</w:t>
            </w:r>
          </w:p>
        </w:tc>
        <w:tc>
          <w:tcPr>
            <w:tcW w:w="1543"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 xml:space="preserve">Central problems of an </w:t>
            </w:r>
            <w:r w:rsidRPr="00F36EB0">
              <w:rPr>
                <w:rFonts w:ascii="Times New Roman" w:hAnsi="Times New Roman" w:cs="Times New Roman"/>
                <w:color w:val="002060"/>
                <w:sz w:val="20"/>
                <w:szCs w:val="20"/>
              </w:rPr>
              <w:lastRenderedPageBreak/>
              <w:t>economic society</w:t>
            </w:r>
          </w:p>
        </w:tc>
        <w:tc>
          <w:tcPr>
            <w:tcW w:w="348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lastRenderedPageBreak/>
              <w:t xml:space="preserve">What, how and for whom to produce; market, socialist and mixed economic </w:t>
            </w:r>
            <w:r w:rsidRPr="00F36EB0">
              <w:rPr>
                <w:rFonts w:ascii="Times New Roman" w:hAnsi="Times New Roman" w:cs="Times New Roman"/>
                <w:color w:val="002060"/>
                <w:sz w:val="20"/>
                <w:szCs w:val="20"/>
              </w:rPr>
              <w:lastRenderedPageBreak/>
              <w:t>systems; price system and value.</w:t>
            </w:r>
          </w:p>
        </w:tc>
        <w:tc>
          <w:tcPr>
            <w:tcW w:w="712" w:type="dxa"/>
          </w:tcPr>
          <w:p w:rsidR="00022BFC" w:rsidRPr="00F36EB0" w:rsidRDefault="00F22C60" w:rsidP="00022BFC">
            <w:pPr>
              <w:jc w:val="both"/>
              <w:rPr>
                <w:rFonts w:ascii="Times New Roman" w:hAnsi="Times New Roman" w:cs="Times New Roman"/>
                <w:color w:val="002060"/>
                <w:sz w:val="20"/>
                <w:szCs w:val="20"/>
              </w:rPr>
            </w:pPr>
            <w:r>
              <w:rPr>
                <w:rFonts w:ascii="Times New Roman" w:hAnsi="Times New Roman" w:cs="Times New Roman"/>
                <w:color w:val="002060"/>
                <w:sz w:val="20"/>
                <w:szCs w:val="20"/>
              </w:rPr>
              <w:lastRenderedPageBreak/>
              <w:t xml:space="preserve">CLO1 and </w:t>
            </w:r>
            <w:r>
              <w:rPr>
                <w:rFonts w:ascii="Times New Roman" w:hAnsi="Times New Roman" w:cs="Times New Roman"/>
                <w:color w:val="002060"/>
                <w:sz w:val="20"/>
                <w:szCs w:val="20"/>
              </w:rPr>
              <w:lastRenderedPageBreak/>
              <w:t>CLO2</w:t>
            </w:r>
          </w:p>
        </w:tc>
        <w:tc>
          <w:tcPr>
            <w:tcW w:w="155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lastRenderedPageBreak/>
              <w:t xml:space="preserve">Lecture, comparative </w:t>
            </w:r>
            <w:r w:rsidRPr="00F36EB0">
              <w:rPr>
                <w:rFonts w:ascii="Times New Roman" w:hAnsi="Times New Roman" w:cs="Times New Roman"/>
                <w:color w:val="002060"/>
                <w:sz w:val="20"/>
                <w:szCs w:val="20"/>
              </w:rPr>
              <w:lastRenderedPageBreak/>
              <w:t>discussion</w:t>
            </w:r>
          </w:p>
        </w:tc>
        <w:tc>
          <w:tcPr>
            <w:tcW w:w="1659"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lastRenderedPageBreak/>
              <w:t xml:space="preserve">Class participation / </w:t>
            </w:r>
            <w:r w:rsidRPr="00F36EB0">
              <w:rPr>
                <w:rFonts w:ascii="Times New Roman" w:hAnsi="Times New Roman" w:cs="Times New Roman"/>
                <w:color w:val="002060"/>
                <w:sz w:val="20"/>
                <w:szCs w:val="20"/>
              </w:rPr>
              <w:lastRenderedPageBreak/>
              <w:t>assignment</w:t>
            </w:r>
          </w:p>
        </w:tc>
      </w:tr>
      <w:tr w:rsidR="00F73317" w:rsidRPr="00F36EB0" w:rsidTr="00956BA4">
        <w:tc>
          <w:tcPr>
            <w:tcW w:w="621"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lastRenderedPageBreak/>
              <w:t>4</w:t>
            </w:r>
          </w:p>
        </w:tc>
        <w:tc>
          <w:tcPr>
            <w:tcW w:w="1543"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Theory of demand and supply</w:t>
            </w:r>
          </w:p>
        </w:tc>
        <w:tc>
          <w:tcPr>
            <w:tcW w:w="348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Demand function and determinants; movement along and shifts of demand; supply function and determinants; market equilibrium.</w:t>
            </w:r>
          </w:p>
        </w:tc>
        <w:tc>
          <w:tcPr>
            <w:tcW w:w="7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CLO3</w:t>
            </w:r>
          </w:p>
        </w:tc>
        <w:tc>
          <w:tcPr>
            <w:tcW w:w="155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Lecture, graph-based problem solving</w:t>
            </w:r>
          </w:p>
        </w:tc>
        <w:tc>
          <w:tcPr>
            <w:tcW w:w="1659"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Problem set</w:t>
            </w:r>
          </w:p>
        </w:tc>
      </w:tr>
      <w:tr w:rsidR="00F73317" w:rsidRPr="00F36EB0" w:rsidTr="00956BA4">
        <w:tc>
          <w:tcPr>
            <w:tcW w:w="621"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5</w:t>
            </w:r>
          </w:p>
        </w:tc>
        <w:tc>
          <w:tcPr>
            <w:tcW w:w="1543"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Theory of demand and supply</w:t>
            </w:r>
          </w:p>
        </w:tc>
        <w:tc>
          <w:tcPr>
            <w:tcW w:w="348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Changes in demand and supply; equilibrium price and quantity; applications to commodity markets.</w:t>
            </w:r>
          </w:p>
        </w:tc>
        <w:tc>
          <w:tcPr>
            <w:tcW w:w="7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CLO3</w:t>
            </w:r>
          </w:p>
        </w:tc>
        <w:tc>
          <w:tcPr>
            <w:tcW w:w="155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Group exercises, case discussion</w:t>
            </w:r>
          </w:p>
        </w:tc>
        <w:tc>
          <w:tcPr>
            <w:tcW w:w="1659"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Quiz / assignment</w:t>
            </w:r>
          </w:p>
        </w:tc>
      </w:tr>
      <w:tr w:rsidR="00F73317" w:rsidRPr="00F36EB0" w:rsidTr="00956BA4">
        <w:tc>
          <w:tcPr>
            <w:tcW w:w="621"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6</w:t>
            </w:r>
          </w:p>
        </w:tc>
        <w:tc>
          <w:tcPr>
            <w:tcW w:w="1543"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Elasticity of demand and supply</w:t>
            </w:r>
          </w:p>
        </w:tc>
        <w:tc>
          <w:tcPr>
            <w:tcW w:w="348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Price, income and cross elasticity of demand; price elasticity of supply; calculation and interpretation.</w:t>
            </w:r>
          </w:p>
        </w:tc>
        <w:tc>
          <w:tcPr>
            <w:tcW w:w="7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CLO3</w:t>
            </w:r>
          </w:p>
        </w:tc>
        <w:tc>
          <w:tcPr>
            <w:tcW w:w="155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Worked examples, problem solving</w:t>
            </w:r>
          </w:p>
        </w:tc>
        <w:tc>
          <w:tcPr>
            <w:tcW w:w="1659"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Numerical assignment</w:t>
            </w:r>
          </w:p>
        </w:tc>
      </w:tr>
      <w:tr w:rsidR="00F73317" w:rsidRPr="00F36EB0" w:rsidTr="00956BA4">
        <w:tc>
          <w:tcPr>
            <w:tcW w:w="621"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7</w:t>
            </w:r>
          </w:p>
        </w:tc>
        <w:tc>
          <w:tcPr>
            <w:tcW w:w="1543"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Elasticity and market applications</w:t>
            </w:r>
          </w:p>
        </w:tc>
        <w:tc>
          <w:tcPr>
            <w:tcW w:w="348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Total revenue and elasticity; marginal revenue; consumer and producer surplus; applications in business.</w:t>
            </w:r>
          </w:p>
        </w:tc>
        <w:tc>
          <w:tcPr>
            <w:tcW w:w="7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CLO3</w:t>
            </w:r>
          </w:p>
        </w:tc>
        <w:tc>
          <w:tcPr>
            <w:tcW w:w="155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Lecture, applied exercises</w:t>
            </w:r>
          </w:p>
        </w:tc>
        <w:tc>
          <w:tcPr>
            <w:tcW w:w="1659"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Mid-semester assessment</w:t>
            </w:r>
          </w:p>
        </w:tc>
      </w:tr>
      <w:tr w:rsidR="00F73317" w:rsidRPr="00F36EB0" w:rsidTr="00956BA4">
        <w:tc>
          <w:tcPr>
            <w:tcW w:w="621"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8</w:t>
            </w:r>
          </w:p>
        </w:tc>
        <w:tc>
          <w:tcPr>
            <w:tcW w:w="1543"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 xml:space="preserve">Theory of consumer </w:t>
            </w:r>
            <w:proofErr w:type="spellStart"/>
            <w:r w:rsidRPr="00F36EB0">
              <w:rPr>
                <w:rFonts w:ascii="Times New Roman" w:hAnsi="Times New Roman" w:cs="Times New Roman"/>
                <w:color w:val="002060"/>
                <w:sz w:val="20"/>
                <w:szCs w:val="20"/>
              </w:rPr>
              <w:t>behaviour</w:t>
            </w:r>
            <w:proofErr w:type="spellEnd"/>
          </w:p>
        </w:tc>
        <w:tc>
          <w:tcPr>
            <w:tcW w:w="348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Utility analysis: cardinal and ordinal approaches; marginal utility; diminishing marginal utility; consumer equilibrium.</w:t>
            </w:r>
          </w:p>
        </w:tc>
        <w:tc>
          <w:tcPr>
            <w:tcW w:w="7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CLO4</w:t>
            </w:r>
          </w:p>
        </w:tc>
        <w:tc>
          <w:tcPr>
            <w:tcW w:w="155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Lecture, diagrams and discussion</w:t>
            </w:r>
          </w:p>
        </w:tc>
        <w:tc>
          <w:tcPr>
            <w:tcW w:w="1659"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Short-answer questions</w:t>
            </w:r>
          </w:p>
        </w:tc>
      </w:tr>
      <w:tr w:rsidR="00F73317" w:rsidRPr="00F36EB0" w:rsidTr="00956BA4">
        <w:tc>
          <w:tcPr>
            <w:tcW w:w="621"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9</w:t>
            </w:r>
          </w:p>
        </w:tc>
        <w:tc>
          <w:tcPr>
            <w:tcW w:w="1543"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 xml:space="preserve">Theory of consumer </w:t>
            </w:r>
            <w:proofErr w:type="spellStart"/>
            <w:r w:rsidRPr="00F36EB0">
              <w:rPr>
                <w:rFonts w:ascii="Times New Roman" w:hAnsi="Times New Roman" w:cs="Times New Roman"/>
                <w:color w:val="002060"/>
                <w:sz w:val="20"/>
                <w:szCs w:val="20"/>
              </w:rPr>
              <w:t>behaviour</w:t>
            </w:r>
            <w:proofErr w:type="spellEnd"/>
          </w:p>
        </w:tc>
        <w:tc>
          <w:tcPr>
            <w:tcW w:w="348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 xml:space="preserve">Indifference curves; budget line and consumer equilibrium; income and substitution effects; normal, inferior and </w:t>
            </w:r>
            <w:proofErr w:type="spellStart"/>
            <w:r w:rsidRPr="00F36EB0">
              <w:rPr>
                <w:rFonts w:ascii="Times New Roman" w:hAnsi="Times New Roman" w:cs="Times New Roman"/>
                <w:color w:val="002060"/>
                <w:sz w:val="20"/>
                <w:szCs w:val="20"/>
              </w:rPr>
              <w:t>Giffen</w:t>
            </w:r>
            <w:proofErr w:type="spellEnd"/>
            <w:r w:rsidRPr="00F36EB0">
              <w:rPr>
                <w:rFonts w:ascii="Times New Roman" w:hAnsi="Times New Roman" w:cs="Times New Roman"/>
                <w:color w:val="002060"/>
                <w:sz w:val="20"/>
                <w:szCs w:val="20"/>
              </w:rPr>
              <w:t xml:space="preserve"> goods.</w:t>
            </w:r>
          </w:p>
        </w:tc>
        <w:tc>
          <w:tcPr>
            <w:tcW w:w="7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CLO4</w:t>
            </w:r>
          </w:p>
        </w:tc>
        <w:tc>
          <w:tcPr>
            <w:tcW w:w="155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Guided problem solving</w:t>
            </w:r>
          </w:p>
        </w:tc>
        <w:tc>
          <w:tcPr>
            <w:tcW w:w="1659"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Assignment / class exercise</w:t>
            </w:r>
          </w:p>
        </w:tc>
      </w:tr>
      <w:tr w:rsidR="00F73317" w:rsidRPr="00F36EB0" w:rsidTr="00956BA4">
        <w:tc>
          <w:tcPr>
            <w:tcW w:w="621"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10</w:t>
            </w:r>
          </w:p>
        </w:tc>
        <w:tc>
          <w:tcPr>
            <w:tcW w:w="1543"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Theory of production</w:t>
            </w:r>
          </w:p>
        </w:tc>
        <w:tc>
          <w:tcPr>
            <w:tcW w:w="348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Short-run production function; total, average and marginal product; law of variable proportions; long-run production and returns to scale.</w:t>
            </w:r>
          </w:p>
        </w:tc>
        <w:tc>
          <w:tcPr>
            <w:tcW w:w="7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CLO5</w:t>
            </w:r>
          </w:p>
        </w:tc>
        <w:tc>
          <w:tcPr>
            <w:tcW w:w="155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Lecture, production schedule exercises</w:t>
            </w:r>
          </w:p>
        </w:tc>
        <w:tc>
          <w:tcPr>
            <w:tcW w:w="1659"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Problem set</w:t>
            </w:r>
          </w:p>
        </w:tc>
      </w:tr>
      <w:tr w:rsidR="00F73317" w:rsidRPr="00F36EB0" w:rsidTr="00956BA4">
        <w:tc>
          <w:tcPr>
            <w:tcW w:w="621"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11</w:t>
            </w:r>
          </w:p>
        </w:tc>
        <w:tc>
          <w:tcPr>
            <w:tcW w:w="1543"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Theory of production and cost</w:t>
            </w:r>
          </w:p>
        </w:tc>
        <w:tc>
          <w:tcPr>
            <w:tcW w:w="348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 xml:space="preserve">Isoquants and </w:t>
            </w:r>
            <w:proofErr w:type="spellStart"/>
            <w:r w:rsidRPr="00F36EB0">
              <w:rPr>
                <w:rFonts w:ascii="Times New Roman" w:hAnsi="Times New Roman" w:cs="Times New Roman"/>
                <w:color w:val="002060"/>
                <w:sz w:val="20"/>
                <w:szCs w:val="20"/>
              </w:rPr>
              <w:t>isocosts</w:t>
            </w:r>
            <w:proofErr w:type="spellEnd"/>
            <w:r w:rsidRPr="00F36EB0">
              <w:rPr>
                <w:rFonts w:ascii="Times New Roman" w:hAnsi="Times New Roman" w:cs="Times New Roman"/>
                <w:color w:val="002060"/>
                <w:sz w:val="20"/>
                <w:szCs w:val="20"/>
              </w:rPr>
              <w:t>; least-cost combination; cost concepts; short-run and long-run cost curves.</w:t>
            </w:r>
          </w:p>
        </w:tc>
        <w:tc>
          <w:tcPr>
            <w:tcW w:w="7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CLO5</w:t>
            </w:r>
          </w:p>
        </w:tc>
        <w:tc>
          <w:tcPr>
            <w:tcW w:w="155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Lecture, numerical exercises</w:t>
            </w:r>
          </w:p>
        </w:tc>
        <w:tc>
          <w:tcPr>
            <w:tcW w:w="1659"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Quiz / numerical assignment</w:t>
            </w:r>
          </w:p>
        </w:tc>
      </w:tr>
      <w:tr w:rsidR="00F73317" w:rsidRPr="00F36EB0" w:rsidTr="00956BA4">
        <w:tc>
          <w:tcPr>
            <w:tcW w:w="621"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12</w:t>
            </w:r>
          </w:p>
        </w:tc>
        <w:tc>
          <w:tcPr>
            <w:tcW w:w="1543"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Product market equilibrium</w:t>
            </w:r>
          </w:p>
        </w:tc>
        <w:tc>
          <w:tcPr>
            <w:tcW w:w="348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Market structures; perfect and imperfect competition; firm and industry equilibrium under perfect competition.</w:t>
            </w:r>
          </w:p>
        </w:tc>
        <w:tc>
          <w:tcPr>
            <w:tcW w:w="7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CLO6</w:t>
            </w:r>
          </w:p>
        </w:tc>
        <w:tc>
          <w:tcPr>
            <w:tcW w:w="155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Lecture, group discussion</w:t>
            </w:r>
          </w:p>
        </w:tc>
        <w:tc>
          <w:tcPr>
            <w:tcW w:w="1659"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Comparative task</w:t>
            </w:r>
          </w:p>
        </w:tc>
      </w:tr>
      <w:tr w:rsidR="00F73317" w:rsidRPr="00F36EB0" w:rsidTr="00956BA4">
        <w:tc>
          <w:tcPr>
            <w:tcW w:w="621"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13</w:t>
            </w:r>
          </w:p>
        </w:tc>
        <w:tc>
          <w:tcPr>
            <w:tcW w:w="1543"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Product market equilibrium</w:t>
            </w:r>
          </w:p>
        </w:tc>
        <w:tc>
          <w:tcPr>
            <w:tcW w:w="348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Monopoly; price and output decisions; price discrimination; comparison of perfect competition and monopoly; oligopoly.</w:t>
            </w:r>
          </w:p>
        </w:tc>
        <w:tc>
          <w:tcPr>
            <w:tcW w:w="7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CLO6</w:t>
            </w:r>
          </w:p>
        </w:tc>
        <w:tc>
          <w:tcPr>
            <w:tcW w:w="155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Case discussion, presentation</w:t>
            </w:r>
          </w:p>
        </w:tc>
        <w:tc>
          <w:tcPr>
            <w:tcW w:w="1659"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Term paper / presentation</w:t>
            </w:r>
          </w:p>
        </w:tc>
      </w:tr>
      <w:tr w:rsidR="00F73317" w:rsidRPr="00F36EB0" w:rsidTr="00956BA4">
        <w:tc>
          <w:tcPr>
            <w:tcW w:w="621"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14</w:t>
            </w:r>
          </w:p>
        </w:tc>
        <w:tc>
          <w:tcPr>
            <w:tcW w:w="1543"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Theory of distribution</w:t>
            </w:r>
          </w:p>
        </w:tc>
        <w:tc>
          <w:tcPr>
            <w:tcW w:w="348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Factors of production and factor pricing; wages, rent, interest and profit; classical and modern theories; trade unions and wage determination.</w:t>
            </w:r>
          </w:p>
        </w:tc>
        <w:tc>
          <w:tcPr>
            <w:tcW w:w="71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CLO6</w:t>
            </w:r>
          </w:p>
        </w:tc>
        <w:tc>
          <w:tcPr>
            <w:tcW w:w="155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Lecture, review and discussion</w:t>
            </w:r>
          </w:p>
        </w:tc>
        <w:tc>
          <w:tcPr>
            <w:tcW w:w="1659"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Summative / final assessment</w:t>
            </w:r>
          </w:p>
        </w:tc>
      </w:tr>
    </w:tbl>
    <w:p w:rsidR="00022BFC" w:rsidRPr="00F73317" w:rsidRDefault="00022BFC" w:rsidP="00022BFC">
      <w:pPr>
        <w:pStyle w:val="Heading1"/>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8. Assessment Strategy and CLO Alignment</w:t>
      </w:r>
    </w:p>
    <w:tbl>
      <w:tblPr>
        <w:tblStyle w:val="TableGrid"/>
        <w:tblW w:w="0" w:type="auto"/>
        <w:tblLook w:val="04A0" w:firstRow="1" w:lastRow="0" w:firstColumn="1" w:lastColumn="0" w:noHBand="0" w:noVBand="1"/>
      </w:tblPr>
      <w:tblGrid>
        <w:gridCol w:w="1948"/>
        <w:gridCol w:w="1886"/>
        <w:gridCol w:w="1944"/>
        <w:gridCol w:w="3798"/>
      </w:tblGrid>
      <w:tr w:rsidR="00F73317" w:rsidRPr="00F36EB0" w:rsidTr="00956BA4">
        <w:tc>
          <w:tcPr>
            <w:tcW w:w="1948"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Assessment component</w:t>
            </w:r>
          </w:p>
        </w:tc>
        <w:tc>
          <w:tcPr>
            <w:tcW w:w="188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Proposed marks</w:t>
            </w:r>
          </w:p>
        </w:tc>
        <w:tc>
          <w:tcPr>
            <w:tcW w:w="1944"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CLO coverage</w:t>
            </w:r>
          </w:p>
        </w:tc>
        <w:tc>
          <w:tcPr>
            <w:tcW w:w="3798"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Purpose / evidence</w:t>
            </w:r>
          </w:p>
        </w:tc>
      </w:tr>
      <w:tr w:rsidR="00F73317" w:rsidRPr="00F36EB0" w:rsidTr="00956BA4">
        <w:tc>
          <w:tcPr>
            <w:tcW w:w="1948"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Mid-term Examination 1</w:t>
            </w:r>
          </w:p>
        </w:tc>
        <w:tc>
          <w:tcPr>
            <w:tcW w:w="188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10</w:t>
            </w:r>
          </w:p>
        </w:tc>
        <w:tc>
          <w:tcPr>
            <w:tcW w:w="1944"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CLO1, CLO2, CLO3</w:t>
            </w:r>
          </w:p>
        </w:tc>
        <w:tc>
          <w:tcPr>
            <w:tcW w:w="3798"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Assess foundational concepts, economic systems, comparative advantage, and demand–supply principles covered before the first mid-term.</w:t>
            </w:r>
          </w:p>
        </w:tc>
      </w:tr>
      <w:tr w:rsidR="00F73317" w:rsidRPr="00F36EB0" w:rsidTr="00956BA4">
        <w:tc>
          <w:tcPr>
            <w:tcW w:w="1948"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Mid-term Examination 2</w:t>
            </w:r>
          </w:p>
        </w:tc>
        <w:tc>
          <w:tcPr>
            <w:tcW w:w="188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10</w:t>
            </w:r>
          </w:p>
        </w:tc>
        <w:tc>
          <w:tcPr>
            <w:tcW w:w="1944"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CLO3, CLO4, CLO5</w:t>
            </w:r>
          </w:p>
        </w:tc>
        <w:tc>
          <w:tcPr>
            <w:tcW w:w="3798"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 xml:space="preserve">Assess elasticity, consumer </w:t>
            </w:r>
            <w:proofErr w:type="spellStart"/>
            <w:r w:rsidRPr="00F36EB0">
              <w:rPr>
                <w:rFonts w:ascii="Times New Roman" w:hAnsi="Times New Roman" w:cs="Times New Roman"/>
                <w:color w:val="002060"/>
                <w:sz w:val="20"/>
                <w:szCs w:val="20"/>
              </w:rPr>
              <w:t>behaviour</w:t>
            </w:r>
            <w:proofErr w:type="spellEnd"/>
            <w:r w:rsidRPr="00F36EB0">
              <w:rPr>
                <w:rFonts w:ascii="Times New Roman" w:hAnsi="Times New Roman" w:cs="Times New Roman"/>
                <w:color w:val="002060"/>
                <w:sz w:val="20"/>
                <w:szCs w:val="20"/>
              </w:rPr>
              <w:t>, and the production/cost topics taught before the second mid-term.</w:t>
            </w:r>
          </w:p>
        </w:tc>
      </w:tr>
      <w:tr w:rsidR="00F73317" w:rsidRPr="00F36EB0" w:rsidTr="00956BA4">
        <w:tc>
          <w:tcPr>
            <w:tcW w:w="1948"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 xml:space="preserve">Term paper and </w:t>
            </w:r>
            <w:r w:rsidRPr="00F36EB0">
              <w:rPr>
                <w:rFonts w:ascii="Times New Roman" w:hAnsi="Times New Roman" w:cs="Times New Roman"/>
                <w:color w:val="002060"/>
                <w:sz w:val="20"/>
                <w:szCs w:val="20"/>
              </w:rPr>
              <w:lastRenderedPageBreak/>
              <w:t>presentation</w:t>
            </w:r>
          </w:p>
        </w:tc>
        <w:tc>
          <w:tcPr>
            <w:tcW w:w="188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lastRenderedPageBreak/>
              <w:t>10</w:t>
            </w:r>
          </w:p>
        </w:tc>
        <w:tc>
          <w:tcPr>
            <w:tcW w:w="1944"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 xml:space="preserve">CLO3, CLO4, </w:t>
            </w:r>
            <w:r w:rsidRPr="00F36EB0">
              <w:rPr>
                <w:rFonts w:ascii="Times New Roman" w:hAnsi="Times New Roman" w:cs="Times New Roman"/>
                <w:color w:val="002060"/>
                <w:sz w:val="20"/>
                <w:szCs w:val="20"/>
              </w:rPr>
              <w:lastRenderedPageBreak/>
              <w:t>CLO5, CLO6</w:t>
            </w:r>
          </w:p>
        </w:tc>
        <w:tc>
          <w:tcPr>
            <w:tcW w:w="3798"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lastRenderedPageBreak/>
              <w:t xml:space="preserve">Assess application of microeconomic </w:t>
            </w:r>
            <w:r w:rsidRPr="00F36EB0">
              <w:rPr>
                <w:rFonts w:ascii="Times New Roman" w:hAnsi="Times New Roman" w:cs="Times New Roman"/>
                <w:color w:val="002060"/>
                <w:sz w:val="20"/>
                <w:szCs w:val="20"/>
              </w:rPr>
              <w:lastRenderedPageBreak/>
              <w:t>concepts to a selected market or business issue, supported by an oral presentation.</w:t>
            </w:r>
          </w:p>
        </w:tc>
      </w:tr>
      <w:tr w:rsidR="00F73317" w:rsidRPr="00F36EB0" w:rsidTr="00956BA4">
        <w:tc>
          <w:tcPr>
            <w:tcW w:w="1948"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lastRenderedPageBreak/>
              <w:t>Assignment</w:t>
            </w:r>
          </w:p>
        </w:tc>
        <w:tc>
          <w:tcPr>
            <w:tcW w:w="188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5</w:t>
            </w:r>
          </w:p>
        </w:tc>
        <w:tc>
          <w:tcPr>
            <w:tcW w:w="1944"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CLO3, CLO4, CLO5</w:t>
            </w:r>
          </w:p>
        </w:tc>
        <w:tc>
          <w:tcPr>
            <w:tcW w:w="3798"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Assess students’ ability to solve selected graphical, conceptual and numerical problems.</w:t>
            </w:r>
          </w:p>
        </w:tc>
      </w:tr>
      <w:tr w:rsidR="00F73317" w:rsidRPr="00F36EB0" w:rsidTr="00956BA4">
        <w:tc>
          <w:tcPr>
            <w:tcW w:w="1948"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Attendance</w:t>
            </w:r>
          </w:p>
        </w:tc>
        <w:tc>
          <w:tcPr>
            <w:tcW w:w="188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5</w:t>
            </w:r>
          </w:p>
        </w:tc>
        <w:tc>
          <w:tcPr>
            <w:tcW w:w="1944"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Course participation</w:t>
            </w:r>
          </w:p>
        </w:tc>
        <w:tc>
          <w:tcPr>
            <w:tcW w:w="3798"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Awarded according to the institution’s attendance policy; this is a participation component rather than a direct measure of a particular CLO.</w:t>
            </w:r>
          </w:p>
        </w:tc>
      </w:tr>
      <w:tr w:rsidR="00F73317" w:rsidRPr="00F36EB0" w:rsidTr="00956BA4">
        <w:tc>
          <w:tcPr>
            <w:tcW w:w="1948"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Final examination</w:t>
            </w:r>
          </w:p>
        </w:tc>
        <w:tc>
          <w:tcPr>
            <w:tcW w:w="188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60</w:t>
            </w:r>
          </w:p>
        </w:tc>
        <w:tc>
          <w:tcPr>
            <w:tcW w:w="1944"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CLO1–CLO6</w:t>
            </w:r>
          </w:p>
        </w:tc>
        <w:tc>
          <w:tcPr>
            <w:tcW w:w="3798"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Assess achievement of the course learning outcomes through conceptual, analytical, graphical and numerical questions.</w:t>
            </w:r>
          </w:p>
        </w:tc>
      </w:tr>
      <w:tr w:rsidR="00F73317" w:rsidRPr="00F36EB0" w:rsidTr="00956BA4">
        <w:tc>
          <w:tcPr>
            <w:tcW w:w="1948"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Total</w:t>
            </w:r>
          </w:p>
        </w:tc>
        <w:tc>
          <w:tcPr>
            <w:tcW w:w="188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100</w:t>
            </w:r>
          </w:p>
        </w:tc>
        <w:tc>
          <w:tcPr>
            <w:tcW w:w="1944"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CLO1–CLO6</w:t>
            </w:r>
          </w:p>
        </w:tc>
        <w:tc>
          <w:tcPr>
            <w:tcW w:w="3798"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40 marks in in-course assessment and 60 marks in the final examination.</w:t>
            </w:r>
          </w:p>
        </w:tc>
      </w:tr>
    </w:tbl>
    <w:p w:rsidR="00022BFC" w:rsidRPr="00F73317" w:rsidRDefault="00022BFC" w:rsidP="00022BFC">
      <w:pPr>
        <w:pStyle w:val="Heading2"/>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8.1 CLO–Assessment Mapping</w:t>
      </w:r>
    </w:p>
    <w:tbl>
      <w:tblPr>
        <w:tblStyle w:val="TableGrid"/>
        <w:tblW w:w="0" w:type="auto"/>
        <w:tblLook w:val="04A0" w:firstRow="1" w:lastRow="0" w:firstColumn="1" w:lastColumn="0" w:noHBand="0" w:noVBand="1"/>
      </w:tblPr>
      <w:tblGrid>
        <w:gridCol w:w="1765"/>
        <w:gridCol w:w="1799"/>
        <w:gridCol w:w="1764"/>
        <w:gridCol w:w="2302"/>
        <w:gridCol w:w="1946"/>
      </w:tblGrid>
      <w:tr w:rsidR="00F73317" w:rsidRPr="00F36EB0" w:rsidTr="00956BA4">
        <w:tc>
          <w:tcPr>
            <w:tcW w:w="176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CLO</w:t>
            </w:r>
          </w:p>
        </w:tc>
        <w:tc>
          <w:tcPr>
            <w:tcW w:w="1799"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Mid-term 1</w:t>
            </w:r>
          </w:p>
        </w:tc>
        <w:tc>
          <w:tcPr>
            <w:tcW w:w="1764"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Mid-term 2</w:t>
            </w:r>
          </w:p>
        </w:tc>
        <w:tc>
          <w:tcPr>
            <w:tcW w:w="230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Term paper / presentation</w:t>
            </w:r>
          </w:p>
        </w:tc>
        <w:tc>
          <w:tcPr>
            <w:tcW w:w="1946"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b/>
                <w:color w:val="002060"/>
                <w:sz w:val="20"/>
                <w:szCs w:val="20"/>
              </w:rPr>
              <w:t>Assignment / final examination</w:t>
            </w:r>
          </w:p>
        </w:tc>
      </w:tr>
      <w:tr w:rsidR="00F73317" w:rsidRPr="00F36EB0" w:rsidTr="00956BA4">
        <w:tc>
          <w:tcPr>
            <w:tcW w:w="176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CLO1</w:t>
            </w:r>
          </w:p>
        </w:tc>
        <w:tc>
          <w:tcPr>
            <w:tcW w:w="1799" w:type="dxa"/>
          </w:tcPr>
          <w:p w:rsidR="00022BFC" w:rsidRPr="00F36EB0" w:rsidRDefault="00022BFC" w:rsidP="00022BFC">
            <w:pPr>
              <w:jc w:val="both"/>
              <w:rPr>
                <w:rFonts w:ascii="Times New Roman" w:hAnsi="Times New Roman" w:cs="Times New Roman"/>
                <w:color w:val="002060"/>
                <w:sz w:val="20"/>
                <w:szCs w:val="20"/>
              </w:rPr>
            </w:pPr>
            <w:r w:rsidRPr="00F36EB0">
              <w:rPr>
                <w:rFonts w:ascii="MS Gothic" w:eastAsia="MS Gothic" w:hAnsi="MS Gothic" w:cs="MS Gothic" w:hint="eastAsia"/>
                <w:color w:val="002060"/>
                <w:sz w:val="20"/>
                <w:szCs w:val="20"/>
              </w:rPr>
              <w:t>✓</w:t>
            </w:r>
          </w:p>
        </w:tc>
        <w:tc>
          <w:tcPr>
            <w:tcW w:w="1764"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230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946" w:type="dxa"/>
          </w:tcPr>
          <w:p w:rsidR="00022BFC" w:rsidRPr="00F36EB0" w:rsidRDefault="00022BFC" w:rsidP="00022BFC">
            <w:pPr>
              <w:jc w:val="both"/>
              <w:rPr>
                <w:rFonts w:ascii="Times New Roman" w:hAnsi="Times New Roman" w:cs="Times New Roman"/>
                <w:color w:val="002060"/>
                <w:sz w:val="20"/>
                <w:szCs w:val="20"/>
              </w:rPr>
            </w:pPr>
            <w:r w:rsidRPr="00F36EB0">
              <w:rPr>
                <w:rFonts w:ascii="MS Gothic" w:eastAsia="MS Gothic" w:hAnsi="MS Gothic" w:cs="MS Gothic" w:hint="eastAsia"/>
                <w:color w:val="002060"/>
                <w:sz w:val="20"/>
                <w:szCs w:val="20"/>
              </w:rPr>
              <w:t>✓</w:t>
            </w:r>
          </w:p>
        </w:tc>
      </w:tr>
      <w:tr w:rsidR="00F73317" w:rsidRPr="00F36EB0" w:rsidTr="00956BA4">
        <w:tc>
          <w:tcPr>
            <w:tcW w:w="176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CLO2</w:t>
            </w:r>
          </w:p>
        </w:tc>
        <w:tc>
          <w:tcPr>
            <w:tcW w:w="1799" w:type="dxa"/>
          </w:tcPr>
          <w:p w:rsidR="00022BFC" w:rsidRPr="00F36EB0" w:rsidRDefault="00022BFC" w:rsidP="00022BFC">
            <w:pPr>
              <w:jc w:val="both"/>
              <w:rPr>
                <w:rFonts w:ascii="Times New Roman" w:hAnsi="Times New Roman" w:cs="Times New Roman"/>
                <w:color w:val="002060"/>
                <w:sz w:val="20"/>
                <w:szCs w:val="20"/>
              </w:rPr>
            </w:pPr>
            <w:r w:rsidRPr="00F36EB0">
              <w:rPr>
                <w:rFonts w:ascii="MS Gothic" w:eastAsia="MS Gothic" w:hAnsi="MS Gothic" w:cs="MS Gothic" w:hint="eastAsia"/>
                <w:color w:val="002060"/>
                <w:sz w:val="20"/>
                <w:szCs w:val="20"/>
              </w:rPr>
              <w:t>✓</w:t>
            </w:r>
          </w:p>
        </w:tc>
        <w:tc>
          <w:tcPr>
            <w:tcW w:w="1764"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2302"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946" w:type="dxa"/>
          </w:tcPr>
          <w:p w:rsidR="00022BFC" w:rsidRPr="00F36EB0" w:rsidRDefault="00022BFC" w:rsidP="00022BFC">
            <w:pPr>
              <w:jc w:val="both"/>
              <w:rPr>
                <w:rFonts w:ascii="Times New Roman" w:hAnsi="Times New Roman" w:cs="Times New Roman"/>
                <w:color w:val="002060"/>
                <w:sz w:val="20"/>
                <w:szCs w:val="20"/>
              </w:rPr>
            </w:pPr>
            <w:r w:rsidRPr="00F36EB0">
              <w:rPr>
                <w:rFonts w:ascii="MS Gothic" w:eastAsia="MS Gothic" w:hAnsi="MS Gothic" w:cs="MS Gothic" w:hint="eastAsia"/>
                <w:color w:val="002060"/>
                <w:sz w:val="20"/>
                <w:szCs w:val="20"/>
              </w:rPr>
              <w:t>✓</w:t>
            </w:r>
          </w:p>
        </w:tc>
      </w:tr>
      <w:tr w:rsidR="00F73317" w:rsidRPr="00F36EB0" w:rsidTr="00956BA4">
        <w:tc>
          <w:tcPr>
            <w:tcW w:w="176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CLO3</w:t>
            </w:r>
          </w:p>
        </w:tc>
        <w:tc>
          <w:tcPr>
            <w:tcW w:w="1799" w:type="dxa"/>
          </w:tcPr>
          <w:p w:rsidR="00022BFC" w:rsidRPr="00F36EB0" w:rsidRDefault="00022BFC" w:rsidP="00022BFC">
            <w:pPr>
              <w:jc w:val="both"/>
              <w:rPr>
                <w:rFonts w:ascii="Times New Roman" w:hAnsi="Times New Roman" w:cs="Times New Roman"/>
                <w:color w:val="002060"/>
                <w:sz w:val="20"/>
                <w:szCs w:val="20"/>
              </w:rPr>
            </w:pPr>
            <w:r w:rsidRPr="00F36EB0">
              <w:rPr>
                <w:rFonts w:ascii="MS Gothic" w:eastAsia="MS Gothic" w:hAnsi="MS Gothic" w:cs="MS Gothic" w:hint="eastAsia"/>
                <w:color w:val="002060"/>
                <w:sz w:val="20"/>
                <w:szCs w:val="20"/>
              </w:rPr>
              <w:t>✓</w:t>
            </w:r>
          </w:p>
        </w:tc>
        <w:tc>
          <w:tcPr>
            <w:tcW w:w="1764" w:type="dxa"/>
          </w:tcPr>
          <w:p w:rsidR="00022BFC" w:rsidRPr="00F36EB0" w:rsidRDefault="00022BFC" w:rsidP="00022BFC">
            <w:pPr>
              <w:jc w:val="both"/>
              <w:rPr>
                <w:rFonts w:ascii="Times New Roman" w:hAnsi="Times New Roman" w:cs="Times New Roman"/>
                <w:color w:val="002060"/>
                <w:sz w:val="20"/>
                <w:szCs w:val="20"/>
              </w:rPr>
            </w:pPr>
            <w:r w:rsidRPr="00F36EB0">
              <w:rPr>
                <w:rFonts w:ascii="MS Gothic" w:eastAsia="MS Gothic" w:hAnsi="MS Gothic" w:cs="MS Gothic" w:hint="eastAsia"/>
                <w:color w:val="002060"/>
                <w:sz w:val="20"/>
                <w:szCs w:val="20"/>
              </w:rPr>
              <w:t>✓</w:t>
            </w:r>
          </w:p>
        </w:tc>
        <w:tc>
          <w:tcPr>
            <w:tcW w:w="2302" w:type="dxa"/>
          </w:tcPr>
          <w:p w:rsidR="00022BFC" w:rsidRPr="00F36EB0" w:rsidRDefault="00022BFC" w:rsidP="00022BFC">
            <w:pPr>
              <w:jc w:val="both"/>
              <w:rPr>
                <w:rFonts w:ascii="Times New Roman" w:hAnsi="Times New Roman" w:cs="Times New Roman"/>
                <w:color w:val="002060"/>
                <w:sz w:val="20"/>
                <w:szCs w:val="20"/>
              </w:rPr>
            </w:pPr>
            <w:r w:rsidRPr="00F36EB0">
              <w:rPr>
                <w:rFonts w:ascii="MS Gothic" w:eastAsia="MS Gothic" w:hAnsi="MS Gothic" w:cs="MS Gothic" w:hint="eastAsia"/>
                <w:color w:val="002060"/>
                <w:sz w:val="20"/>
                <w:szCs w:val="20"/>
              </w:rPr>
              <w:t>✓</w:t>
            </w:r>
          </w:p>
        </w:tc>
        <w:tc>
          <w:tcPr>
            <w:tcW w:w="1946" w:type="dxa"/>
          </w:tcPr>
          <w:p w:rsidR="00022BFC" w:rsidRPr="00F36EB0" w:rsidRDefault="00022BFC" w:rsidP="00022BFC">
            <w:pPr>
              <w:jc w:val="both"/>
              <w:rPr>
                <w:rFonts w:ascii="Times New Roman" w:hAnsi="Times New Roman" w:cs="Times New Roman"/>
                <w:color w:val="002060"/>
                <w:sz w:val="20"/>
                <w:szCs w:val="20"/>
              </w:rPr>
            </w:pPr>
            <w:r w:rsidRPr="00F36EB0">
              <w:rPr>
                <w:rFonts w:ascii="MS Gothic" w:eastAsia="MS Gothic" w:hAnsi="MS Gothic" w:cs="MS Gothic" w:hint="eastAsia"/>
                <w:color w:val="002060"/>
                <w:sz w:val="20"/>
                <w:szCs w:val="20"/>
              </w:rPr>
              <w:t>✓</w:t>
            </w:r>
          </w:p>
        </w:tc>
      </w:tr>
      <w:tr w:rsidR="00F73317" w:rsidRPr="00F36EB0" w:rsidTr="00956BA4">
        <w:tc>
          <w:tcPr>
            <w:tcW w:w="176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CLO4</w:t>
            </w:r>
          </w:p>
        </w:tc>
        <w:tc>
          <w:tcPr>
            <w:tcW w:w="1799"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764" w:type="dxa"/>
          </w:tcPr>
          <w:p w:rsidR="00022BFC" w:rsidRPr="00F36EB0" w:rsidRDefault="00022BFC" w:rsidP="00022BFC">
            <w:pPr>
              <w:jc w:val="both"/>
              <w:rPr>
                <w:rFonts w:ascii="Times New Roman" w:hAnsi="Times New Roman" w:cs="Times New Roman"/>
                <w:color w:val="002060"/>
                <w:sz w:val="20"/>
                <w:szCs w:val="20"/>
              </w:rPr>
            </w:pPr>
            <w:r w:rsidRPr="00F36EB0">
              <w:rPr>
                <w:rFonts w:ascii="MS Gothic" w:eastAsia="MS Gothic" w:hAnsi="MS Gothic" w:cs="MS Gothic" w:hint="eastAsia"/>
                <w:color w:val="002060"/>
                <w:sz w:val="20"/>
                <w:szCs w:val="20"/>
              </w:rPr>
              <w:t>✓</w:t>
            </w:r>
          </w:p>
        </w:tc>
        <w:tc>
          <w:tcPr>
            <w:tcW w:w="2302" w:type="dxa"/>
          </w:tcPr>
          <w:p w:rsidR="00022BFC" w:rsidRPr="00F36EB0" w:rsidRDefault="00022BFC" w:rsidP="00022BFC">
            <w:pPr>
              <w:jc w:val="both"/>
              <w:rPr>
                <w:rFonts w:ascii="Times New Roman" w:hAnsi="Times New Roman" w:cs="Times New Roman"/>
                <w:color w:val="002060"/>
                <w:sz w:val="20"/>
                <w:szCs w:val="20"/>
              </w:rPr>
            </w:pPr>
            <w:r w:rsidRPr="00F36EB0">
              <w:rPr>
                <w:rFonts w:ascii="MS Gothic" w:eastAsia="MS Gothic" w:hAnsi="MS Gothic" w:cs="MS Gothic" w:hint="eastAsia"/>
                <w:color w:val="002060"/>
                <w:sz w:val="20"/>
                <w:szCs w:val="20"/>
              </w:rPr>
              <w:t>✓</w:t>
            </w:r>
          </w:p>
        </w:tc>
        <w:tc>
          <w:tcPr>
            <w:tcW w:w="1946" w:type="dxa"/>
          </w:tcPr>
          <w:p w:rsidR="00022BFC" w:rsidRPr="00F36EB0" w:rsidRDefault="00022BFC" w:rsidP="00022BFC">
            <w:pPr>
              <w:jc w:val="both"/>
              <w:rPr>
                <w:rFonts w:ascii="Times New Roman" w:hAnsi="Times New Roman" w:cs="Times New Roman"/>
                <w:color w:val="002060"/>
                <w:sz w:val="20"/>
                <w:szCs w:val="20"/>
              </w:rPr>
            </w:pPr>
            <w:r w:rsidRPr="00F36EB0">
              <w:rPr>
                <w:rFonts w:ascii="MS Gothic" w:eastAsia="MS Gothic" w:hAnsi="MS Gothic" w:cs="MS Gothic" w:hint="eastAsia"/>
                <w:color w:val="002060"/>
                <w:sz w:val="20"/>
                <w:szCs w:val="20"/>
              </w:rPr>
              <w:t>✓</w:t>
            </w:r>
          </w:p>
        </w:tc>
      </w:tr>
      <w:tr w:rsidR="00F73317" w:rsidRPr="00F36EB0" w:rsidTr="00956BA4">
        <w:tc>
          <w:tcPr>
            <w:tcW w:w="176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CLO5</w:t>
            </w:r>
          </w:p>
        </w:tc>
        <w:tc>
          <w:tcPr>
            <w:tcW w:w="1799"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764" w:type="dxa"/>
          </w:tcPr>
          <w:p w:rsidR="00022BFC" w:rsidRPr="00F36EB0" w:rsidRDefault="00022BFC" w:rsidP="00022BFC">
            <w:pPr>
              <w:jc w:val="both"/>
              <w:rPr>
                <w:rFonts w:ascii="Times New Roman" w:hAnsi="Times New Roman" w:cs="Times New Roman"/>
                <w:color w:val="002060"/>
                <w:sz w:val="20"/>
                <w:szCs w:val="20"/>
              </w:rPr>
            </w:pPr>
            <w:r w:rsidRPr="00F36EB0">
              <w:rPr>
                <w:rFonts w:ascii="MS Gothic" w:eastAsia="MS Gothic" w:hAnsi="MS Gothic" w:cs="MS Gothic" w:hint="eastAsia"/>
                <w:color w:val="002060"/>
                <w:sz w:val="20"/>
                <w:szCs w:val="20"/>
              </w:rPr>
              <w:t>✓</w:t>
            </w:r>
          </w:p>
        </w:tc>
        <w:tc>
          <w:tcPr>
            <w:tcW w:w="2302" w:type="dxa"/>
          </w:tcPr>
          <w:p w:rsidR="00022BFC" w:rsidRPr="00F36EB0" w:rsidRDefault="00022BFC" w:rsidP="00022BFC">
            <w:pPr>
              <w:jc w:val="both"/>
              <w:rPr>
                <w:rFonts w:ascii="Times New Roman" w:hAnsi="Times New Roman" w:cs="Times New Roman"/>
                <w:color w:val="002060"/>
                <w:sz w:val="20"/>
                <w:szCs w:val="20"/>
              </w:rPr>
            </w:pPr>
            <w:r w:rsidRPr="00F36EB0">
              <w:rPr>
                <w:rFonts w:ascii="MS Gothic" w:eastAsia="MS Gothic" w:hAnsi="MS Gothic" w:cs="MS Gothic" w:hint="eastAsia"/>
                <w:color w:val="002060"/>
                <w:sz w:val="20"/>
                <w:szCs w:val="20"/>
              </w:rPr>
              <w:t>✓</w:t>
            </w:r>
          </w:p>
        </w:tc>
        <w:tc>
          <w:tcPr>
            <w:tcW w:w="1946" w:type="dxa"/>
          </w:tcPr>
          <w:p w:rsidR="00022BFC" w:rsidRPr="00F36EB0" w:rsidRDefault="00022BFC" w:rsidP="00022BFC">
            <w:pPr>
              <w:jc w:val="both"/>
              <w:rPr>
                <w:rFonts w:ascii="Times New Roman" w:hAnsi="Times New Roman" w:cs="Times New Roman"/>
                <w:color w:val="002060"/>
                <w:sz w:val="20"/>
                <w:szCs w:val="20"/>
              </w:rPr>
            </w:pPr>
            <w:r w:rsidRPr="00F36EB0">
              <w:rPr>
                <w:rFonts w:ascii="MS Gothic" w:eastAsia="MS Gothic" w:hAnsi="MS Gothic" w:cs="MS Gothic" w:hint="eastAsia"/>
                <w:color w:val="002060"/>
                <w:sz w:val="20"/>
                <w:szCs w:val="20"/>
              </w:rPr>
              <w:t>✓</w:t>
            </w:r>
          </w:p>
        </w:tc>
      </w:tr>
      <w:tr w:rsidR="00F73317" w:rsidRPr="00F36EB0" w:rsidTr="00956BA4">
        <w:tc>
          <w:tcPr>
            <w:tcW w:w="1765"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CLO6</w:t>
            </w:r>
          </w:p>
        </w:tc>
        <w:tc>
          <w:tcPr>
            <w:tcW w:w="1799"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1764" w:type="dxa"/>
          </w:tcPr>
          <w:p w:rsidR="00022BFC" w:rsidRPr="00F36EB0" w:rsidRDefault="00022BFC" w:rsidP="00022BFC">
            <w:pPr>
              <w:jc w:val="both"/>
              <w:rPr>
                <w:rFonts w:ascii="Times New Roman" w:hAnsi="Times New Roman" w:cs="Times New Roman"/>
                <w:color w:val="002060"/>
                <w:sz w:val="20"/>
                <w:szCs w:val="20"/>
              </w:rPr>
            </w:pPr>
            <w:r w:rsidRPr="00F36EB0">
              <w:rPr>
                <w:rFonts w:ascii="Times New Roman" w:hAnsi="Times New Roman" w:cs="Times New Roman"/>
                <w:color w:val="002060"/>
                <w:sz w:val="20"/>
                <w:szCs w:val="20"/>
              </w:rPr>
              <w:t>–</w:t>
            </w:r>
          </w:p>
        </w:tc>
        <w:tc>
          <w:tcPr>
            <w:tcW w:w="2302" w:type="dxa"/>
          </w:tcPr>
          <w:p w:rsidR="00022BFC" w:rsidRPr="00F36EB0" w:rsidRDefault="00022BFC" w:rsidP="00022BFC">
            <w:pPr>
              <w:jc w:val="both"/>
              <w:rPr>
                <w:rFonts w:ascii="Times New Roman" w:hAnsi="Times New Roman" w:cs="Times New Roman"/>
                <w:color w:val="002060"/>
                <w:sz w:val="20"/>
                <w:szCs w:val="20"/>
              </w:rPr>
            </w:pPr>
            <w:r w:rsidRPr="00F36EB0">
              <w:rPr>
                <w:rFonts w:ascii="MS Gothic" w:eastAsia="MS Gothic" w:hAnsi="MS Gothic" w:cs="MS Gothic" w:hint="eastAsia"/>
                <w:color w:val="002060"/>
                <w:sz w:val="20"/>
                <w:szCs w:val="20"/>
              </w:rPr>
              <w:t>✓</w:t>
            </w:r>
          </w:p>
        </w:tc>
        <w:tc>
          <w:tcPr>
            <w:tcW w:w="1946" w:type="dxa"/>
          </w:tcPr>
          <w:p w:rsidR="00022BFC" w:rsidRPr="00F36EB0" w:rsidRDefault="00022BFC" w:rsidP="00022BFC">
            <w:pPr>
              <w:jc w:val="both"/>
              <w:rPr>
                <w:rFonts w:ascii="Times New Roman" w:hAnsi="Times New Roman" w:cs="Times New Roman"/>
                <w:color w:val="002060"/>
                <w:sz w:val="20"/>
                <w:szCs w:val="20"/>
              </w:rPr>
            </w:pPr>
            <w:r w:rsidRPr="00F36EB0">
              <w:rPr>
                <w:rFonts w:ascii="MS Gothic" w:eastAsia="MS Gothic" w:hAnsi="MS Gothic" w:cs="MS Gothic" w:hint="eastAsia"/>
                <w:color w:val="002060"/>
                <w:sz w:val="20"/>
                <w:szCs w:val="20"/>
              </w:rPr>
              <w:t>✓</w:t>
            </w:r>
          </w:p>
        </w:tc>
      </w:tr>
    </w:tbl>
    <w:p w:rsidR="00022BFC" w:rsidRPr="00F73317" w:rsidRDefault="00022BFC" w:rsidP="00022BFC">
      <w:pPr>
        <w:pStyle w:val="Heading1"/>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9. Assessment Guidelines for Students</w:t>
      </w:r>
    </w:p>
    <w:p w:rsidR="00022BFC" w:rsidRPr="00F73317" w:rsidRDefault="00022BFC" w:rsidP="00022BFC">
      <w:pPr>
        <w:pStyle w:val="ListBullet"/>
        <w:spacing w:after="20"/>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Attend classes regularly and participate in discussions, diagram exercises and problem-solving activities.</w:t>
      </w:r>
    </w:p>
    <w:p w:rsidR="00022BFC" w:rsidRPr="00F73317" w:rsidRDefault="00022BFC" w:rsidP="00022BFC">
      <w:pPr>
        <w:pStyle w:val="ListBullet"/>
        <w:spacing w:after="20"/>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Complete quizzes and assignments by the announced deadlines. Show calculation steps and label diagrams clearly.</w:t>
      </w:r>
    </w:p>
    <w:p w:rsidR="00022BFC" w:rsidRPr="00F73317" w:rsidRDefault="00022BFC" w:rsidP="00022BFC">
      <w:pPr>
        <w:pStyle w:val="ListBullet"/>
        <w:spacing w:after="20"/>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For the term paper, define the selected economic issue, use relevant concepts from the course, explain the analysis and acknowledge all sources used.</w:t>
      </w:r>
    </w:p>
    <w:p w:rsidR="00022BFC" w:rsidRPr="00F73317" w:rsidRDefault="00022BFC" w:rsidP="00022BFC">
      <w:pPr>
        <w:pStyle w:val="ListBullet"/>
        <w:spacing w:after="20"/>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Prepare for the mid-semester and final examinations by reviewing lecture materials, textbook chapters, diagrams and numerical exercises.</w:t>
      </w:r>
    </w:p>
    <w:p w:rsidR="00022BFC" w:rsidRPr="00F73317" w:rsidRDefault="00022BFC" w:rsidP="00022BFC">
      <w:pPr>
        <w:pStyle w:val="ListBullet"/>
        <w:spacing w:after="20"/>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Follow the institution’s academic integrity rules. Submitted work must be the student’s own, and all external sources must be acknowledged.</w:t>
      </w:r>
    </w:p>
    <w:p w:rsidR="00022BFC" w:rsidRPr="00F73317" w:rsidRDefault="00022BFC" w:rsidP="00022BFC">
      <w:pPr>
        <w:pStyle w:val="ListBullet"/>
        <w:spacing w:after="20"/>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Seek clarification from the course instructor when an assessment requirement or feedback point is unclear.</w:t>
      </w:r>
    </w:p>
    <w:p w:rsidR="00022BFC" w:rsidRPr="00F73317" w:rsidRDefault="00022BFC" w:rsidP="00022BFC">
      <w:pPr>
        <w:pStyle w:val="Heading1"/>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10. Recommended Textbooks</w:t>
      </w:r>
    </w:p>
    <w:p w:rsidR="006A47E9" w:rsidRPr="00F73317" w:rsidRDefault="00022BFC" w:rsidP="006A47E9">
      <w:pPr>
        <w:pStyle w:val="ListBullet"/>
        <w:numPr>
          <w:ilvl w:val="0"/>
          <w:numId w:val="0"/>
        </w:numPr>
        <w:spacing w:after="20"/>
        <w:ind w:left="360" w:hanging="360"/>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1.</w:t>
      </w:r>
      <w:r w:rsidR="006A47E9" w:rsidRPr="006A47E9">
        <w:rPr>
          <w:rFonts w:ascii="Times New Roman" w:hAnsi="Times New Roman" w:cs="Times New Roman"/>
          <w:color w:val="002060"/>
          <w:sz w:val="24"/>
          <w:szCs w:val="24"/>
        </w:rPr>
        <w:t xml:space="preserve"> </w:t>
      </w:r>
      <w:proofErr w:type="spellStart"/>
      <w:r w:rsidR="006A47E9" w:rsidRPr="00F73317">
        <w:rPr>
          <w:rFonts w:ascii="Times New Roman" w:hAnsi="Times New Roman" w:cs="Times New Roman"/>
          <w:color w:val="002060"/>
          <w:sz w:val="24"/>
          <w:szCs w:val="24"/>
        </w:rPr>
        <w:t>Dewett</w:t>
      </w:r>
      <w:proofErr w:type="spellEnd"/>
      <w:r w:rsidR="006A47E9" w:rsidRPr="00F73317">
        <w:rPr>
          <w:rFonts w:ascii="Times New Roman" w:hAnsi="Times New Roman" w:cs="Times New Roman"/>
          <w:color w:val="002060"/>
          <w:sz w:val="24"/>
          <w:szCs w:val="24"/>
        </w:rPr>
        <w:t>, K. K. Modern Economic Theory.</w:t>
      </w:r>
    </w:p>
    <w:p w:rsidR="006F109E" w:rsidRDefault="006A47E9" w:rsidP="00022BFC">
      <w:pPr>
        <w:spacing w:after="80"/>
        <w:jc w:val="both"/>
        <w:rPr>
          <w:rFonts w:ascii="Times New Roman" w:hAnsi="Times New Roman" w:cs="Times New Roman"/>
          <w:color w:val="002060"/>
          <w:sz w:val="24"/>
          <w:szCs w:val="24"/>
        </w:rPr>
      </w:pPr>
      <w:r>
        <w:rPr>
          <w:rFonts w:ascii="Times New Roman" w:hAnsi="Times New Roman" w:cs="Times New Roman"/>
          <w:color w:val="002060"/>
          <w:sz w:val="24"/>
          <w:szCs w:val="24"/>
        </w:rPr>
        <w:t xml:space="preserve">2. </w:t>
      </w:r>
      <w:proofErr w:type="spellStart"/>
      <w:r w:rsidR="00022BFC" w:rsidRPr="00F73317">
        <w:rPr>
          <w:rFonts w:ascii="Times New Roman" w:hAnsi="Times New Roman" w:cs="Times New Roman"/>
          <w:color w:val="002060"/>
          <w:sz w:val="24"/>
          <w:szCs w:val="24"/>
        </w:rPr>
        <w:t>Koutsoyiannis</w:t>
      </w:r>
      <w:proofErr w:type="spellEnd"/>
      <w:r w:rsidR="00022BFC" w:rsidRPr="00F73317">
        <w:rPr>
          <w:rFonts w:ascii="Times New Roman" w:hAnsi="Times New Roman" w:cs="Times New Roman"/>
          <w:color w:val="002060"/>
          <w:sz w:val="24"/>
          <w:szCs w:val="24"/>
        </w:rPr>
        <w:t xml:space="preserve">, A. Modern Microeconomics. </w:t>
      </w:r>
    </w:p>
    <w:p w:rsidR="00022BFC" w:rsidRPr="00F73317" w:rsidRDefault="006A47E9" w:rsidP="00022BFC">
      <w:pPr>
        <w:spacing w:after="80"/>
        <w:jc w:val="both"/>
        <w:rPr>
          <w:rFonts w:ascii="Times New Roman" w:hAnsi="Times New Roman" w:cs="Times New Roman"/>
          <w:color w:val="002060"/>
          <w:sz w:val="24"/>
          <w:szCs w:val="24"/>
        </w:rPr>
      </w:pPr>
      <w:bookmarkStart w:id="0" w:name="_GoBack"/>
      <w:bookmarkEnd w:id="0"/>
      <w:r>
        <w:rPr>
          <w:rFonts w:ascii="Times New Roman" w:hAnsi="Times New Roman" w:cs="Times New Roman"/>
          <w:color w:val="002060"/>
          <w:sz w:val="24"/>
          <w:szCs w:val="24"/>
        </w:rPr>
        <w:t>3</w:t>
      </w:r>
      <w:r w:rsidR="00022BFC" w:rsidRPr="00F73317">
        <w:rPr>
          <w:rFonts w:ascii="Times New Roman" w:hAnsi="Times New Roman" w:cs="Times New Roman"/>
          <w:color w:val="002060"/>
          <w:sz w:val="24"/>
          <w:szCs w:val="24"/>
        </w:rPr>
        <w:t xml:space="preserve">. </w:t>
      </w:r>
      <w:proofErr w:type="spellStart"/>
      <w:r w:rsidR="00022BFC" w:rsidRPr="00F73317">
        <w:rPr>
          <w:rFonts w:ascii="Times New Roman" w:hAnsi="Times New Roman" w:cs="Times New Roman"/>
          <w:color w:val="002060"/>
          <w:sz w:val="24"/>
          <w:szCs w:val="24"/>
        </w:rPr>
        <w:t>Mankiw</w:t>
      </w:r>
      <w:proofErr w:type="spellEnd"/>
      <w:r w:rsidR="00022BFC" w:rsidRPr="00F73317">
        <w:rPr>
          <w:rFonts w:ascii="Times New Roman" w:hAnsi="Times New Roman" w:cs="Times New Roman"/>
          <w:color w:val="002060"/>
          <w:sz w:val="24"/>
          <w:szCs w:val="24"/>
        </w:rPr>
        <w:t xml:space="preserve">, N. G. Principles of Microeconomics. </w:t>
      </w:r>
      <w:proofErr w:type="spellStart"/>
      <w:r w:rsidR="00022BFC" w:rsidRPr="00F73317">
        <w:rPr>
          <w:rFonts w:ascii="Times New Roman" w:hAnsi="Times New Roman" w:cs="Times New Roman"/>
          <w:color w:val="002060"/>
          <w:sz w:val="24"/>
          <w:szCs w:val="24"/>
        </w:rPr>
        <w:t>Cengage</w:t>
      </w:r>
      <w:proofErr w:type="spellEnd"/>
      <w:r w:rsidR="00022BFC" w:rsidRPr="00F73317">
        <w:rPr>
          <w:rFonts w:ascii="Times New Roman" w:hAnsi="Times New Roman" w:cs="Times New Roman"/>
          <w:color w:val="002060"/>
          <w:sz w:val="24"/>
          <w:szCs w:val="24"/>
        </w:rPr>
        <w:t xml:space="preserve"> Learning.</w:t>
      </w:r>
    </w:p>
    <w:p w:rsidR="00022BFC" w:rsidRPr="00F73317" w:rsidRDefault="00022BFC" w:rsidP="00022BFC">
      <w:pPr>
        <w:pStyle w:val="Heading1"/>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lastRenderedPageBreak/>
        <w:t>11. Reference Books</w:t>
      </w:r>
    </w:p>
    <w:p w:rsidR="00022BFC" w:rsidRPr="00F73317" w:rsidRDefault="00022BFC" w:rsidP="00022BFC">
      <w:pPr>
        <w:pStyle w:val="ListBullet"/>
        <w:spacing w:after="20"/>
        <w:jc w:val="both"/>
        <w:rPr>
          <w:rFonts w:ascii="Times New Roman" w:hAnsi="Times New Roman" w:cs="Times New Roman"/>
          <w:color w:val="002060"/>
          <w:sz w:val="24"/>
          <w:szCs w:val="24"/>
        </w:rPr>
      </w:pPr>
      <w:proofErr w:type="spellStart"/>
      <w:r w:rsidRPr="00F73317">
        <w:rPr>
          <w:rFonts w:ascii="Times New Roman" w:hAnsi="Times New Roman" w:cs="Times New Roman"/>
          <w:color w:val="002060"/>
          <w:sz w:val="24"/>
          <w:szCs w:val="24"/>
        </w:rPr>
        <w:t>Lipsey</w:t>
      </w:r>
      <w:proofErr w:type="spellEnd"/>
      <w:r w:rsidRPr="00F73317">
        <w:rPr>
          <w:rFonts w:ascii="Times New Roman" w:hAnsi="Times New Roman" w:cs="Times New Roman"/>
          <w:color w:val="002060"/>
          <w:sz w:val="24"/>
          <w:szCs w:val="24"/>
        </w:rPr>
        <w:t>, R. G. An Introduction to Positive Economics.</w:t>
      </w:r>
    </w:p>
    <w:p w:rsidR="00022BFC" w:rsidRPr="00F73317" w:rsidRDefault="00022BFC" w:rsidP="00022BFC">
      <w:pPr>
        <w:pStyle w:val="ListBullet"/>
        <w:spacing w:after="20"/>
        <w:jc w:val="both"/>
        <w:rPr>
          <w:rFonts w:ascii="Times New Roman" w:hAnsi="Times New Roman" w:cs="Times New Roman"/>
          <w:color w:val="002060"/>
          <w:sz w:val="24"/>
          <w:szCs w:val="24"/>
        </w:rPr>
      </w:pPr>
      <w:proofErr w:type="spellStart"/>
      <w:r w:rsidRPr="00F73317">
        <w:rPr>
          <w:rFonts w:ascii="Times New Roman" w:hAnsi="Times New Roman" w:cs="Times New Roman"/>
          <w:color w:val="002060"/>
          <w:sz w:val="24"/>
          <w:szCs w:val="24"/>
        </w:rPr>
        <w:t>Krugman</w:t>
      </w:r>
      <w:proofErr w:type="spellEnd"/>
      <w:r w:rsidRPr="00F73317">
        <w:rPr>
          <w:rFonts w:ascii="Times New Roman" w:hAnsi="Times New Roman" w:cs="Times New Roman"/>
          <w:color w:val="002060"/>
          <w:sz w:val="24"/>
          <w:szCs w:val="24"/>
        </w:rPr>
        <w:t>, P. and Wells, R. Microeconomics. Worth Publishers.</w:t>
      </w:r>
    </w:p>
    <w:p w:rsidR="00022BFC" w:rsidRPr="00F73317" w:rsidRDefault="00022BFC" w:rsidP="00022BFC">
      <w:pPr>
        <w:pStyle w:val="ListBullet"/>
        <w:spacing w:after="20"/>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 xml:space="preserve">Samuelson, P. A. and </w:t>
      </w:r>
      <w:proofErr w:type="spellStart"/>
      <w:r w:rsidRPr="00F73317">
        <w:rPr>
          <w:rFonts w:ascii="Times New Roman" w:hAnsi="Times New Roman" w:cs="Times New Roman"/>
          <w:color w:val="002060"/>
          <w:sz w:val="24"/>
          <w:szCs w:val="24"/>
        </w:rPr>
        <w:t>Nordhaus</w:t>
      </w:r>
      <w:proofErr w:type="spellEnd"/>
      <w:r w:rsidRPr="00F73317">
        <w:rPr>
          <w:rFonts w:ascii="Times New Roman" w:hAnsi="Times New Roman" w:cs="Times New Roman"/>
          <w:color w:val="002060"/>
          <w:sz w:val="24"/>
          <w:szCs w:val="24"/>
        </w:rPr>
        <w:t>, W. D. Economics. Latest edition.</w:t>
      </w:r>
    </w:p>
    <w:p w:rsidR="00022BFC" w:rsidRPr="00F73317" w:rsidRDefault="00022BFC" w:rsidP="00022BFC">
      <w:pPr>
        <w:pStyle w:val="ListBullet"/>
        <w:spacing w:after="20"/>
        <w:jc w:val="both"/>
        <w:rPr>
          <w:rFonts w:ascii="Times New Roman" w:hAnsi="Times New Roman" w:cs="Times New Roman"/>
          <w:color w:val="002060"/>
          <w:sz w:val="24"/>
          <w:szCs w:val="24"/>
        </w:rPr>
      </w:pPr>
      <w:proofErr w:type="spellStart"/>
      <w:r w:rsidRPr="00F73317">
        <w:rPr>
          <w:rFonts w:ascii="Times New Roman" w:hAnsi="Times New Roman" w:cs="Times New Roman"/>
          <w:color w:val="002060"/>
          <w:sz w:val="24"/>
          <w:szCs w:val="24"/>
        </w:rPr>
        <w:t>Baumol</w:t>
      </w:r>
      <w:proofErr w:type="spellEnd"/>
      <w:r w:rsidRPr="00F73317">
        <w:rPr>
          <w:rFonts w:ascii="Times New Roman" w:hAnsi="Times New Roman" w:cs="Times New Roman"/>
          <w:color w:val="002060"/>
          <w:sz w:val="24"/>
          <w:szCs w:val="24"/>
        </w:rPr>
        <w:t>, W. J. and Blinder, A. Microeconomics and Policy.</w:t>
      </w:r>
    </w:p>
    <w:p w:rsidR="00022BFC" w:rsidRPr="00F73317" w:rsidRDefault="006F109E" w:rsidP="00022BFC">
      <w:pPr>
        <w:pStyle w:val="ListBullet"/>
        <w:spacing w:after="20"/>
        <w:jc w:val="both"/>
        <w:rPr>
          <w:rFonts w:ascii="Times New Roman" w:hAnsi="Times New Roman" w:cs="Times New Roman"/>
          <w:color w:val="002060"/>
          <w:sz w:val="24"/>
          <w:szCs w:val="24"/>
        </w:rPr>
      </w:pPr>
      <w:proofErr w:type="spellStart"/>
      <w:r>
        <w:rPr>
          <w:rFonts w:ascii="Times New Roman" w:hAnsi="Times New Roman" w:cs="Times New Roman"/>
          <w:color w:val="002060"/>
          <w:sz w:val="24"/>
          <w:szCs w:val="24"/>
        </w:rPr>
        <w:t>Ahuj</w:t>
      </w:r>
      <w:r w:rsidR="00022BFC" w:rsidRPr="00F73317">
        <w:rPr>
          <w:rFonts w:ascii="Times New Roman" w:hAnsi="Times New Roman" w:cs="Times New Roman"/>
          <w:color w:val="002060"/>
          <w:sz w:val="24"/>
          <w:szCs w:val="24"/>
        </w:rPr>
        <w:t>a</w:t>
      </w:r>
      <w:proofErr w:type="spellEnd"/>
      <w:r w:rsidR="00022BFC" w:rsidRPr="00F73317">
        <w:rPr>
          <w:rFonts w:ascii="Times New Roman" w:hAnsi="Times New Roman" w:cs="Times New Roman"/>
          <w:color w:val="002060"/>
          <w:sz w:val="24"/>
          <w:szCs w:val="24"/>
        </w:rPr>
        <w:t>, H. L. Modern Economic Theory.</w:t>
      </w:r>
    </w:p>
    <w:p w:rsidR="006F109E" w:rsidRDefault="006F109E" w:rsidP="006F109E">
      <w:pPr>
        <w:pStyle w:val="ListBullet"/>
        <w:numPr>
          <w:ilvl w:val="0"/>
          <w:numId w:val="0"/>
        </w:numPr>
        <w:ind w:left="360"/>
        <w:jc w:val="both"/>
        <w:rPr>
          <w:rFonts w:ascii="Times New Roman" w:hAnsi="Times New Roman" w:cs="Times New Roman"/>
          <w:color w:val="002060"/>
          <w:sz w:val="24"/>
          <w:szCs w:val="24"/>
        </w:rPr>
      </w:pPr>
    </w:p>
    <w:p w:rsidR="006F109E" w:rsidRDefault="006F109E" w:rsidP="006F109E">
      <w:pPr>
        <w:pStyle w:val="ListBullet"/>
        <w:numPr>
          <w:ilvl w:val="0"/>
          <w:numId w:val="0"/>
        </w:numPr>
        <w:ind w:left="360"/>
        <w:jc w:val="both"/>
        <w:rPr>
          <w:rFonts w:ascii="Times New Roman" w:hAnsi="Times New Roman" w:cs="Times New Roman"/>
          <w:color w:val="002060"/>
          <w:sz w:val="24"/>
          <w:szCs w:val="24"/>
        </w:rPr>
      </w:pPr>
    </w:p>
    <w:p w:rsidR="006F109E" w:rsidRDefault="006F109E" w:rsidP="006F109E">
      <w:pPr>
        <w:pStyle w:val="ListBullet"/>
        <w:numPr>
          <w:ilvl w:val="0"/>
          <w:numId w:val="0"/>
        </w:numPr>
        <w:ind w:left="360"/>
        <w:jc w:val="both"/>
        <w:rPr>
          <w:rFonts w:ascii="Times New Roman" w:hAnsi="Times New Roman" w:cs="Times New Roman"/>
          <w:color w:val="002060"/>
          <w:sz w:val="24"/>
          <w:szCs w:val="24"/>
        </w:rPr>
      </w:pPr>
    </w:p>
    <w:p w:rsidR="00022BFC" w:rsidRPr="00F73317" w:rsidRDefault="00022BFC" w:rsidP="006F109E">
      <w:pPr>
        <w:pStyle w:val="ListBullet"/>
        <w:numPr>
          <w:ilvl w:val="0"/>
          <w:numId w:val="0"/>
        </w:numPr>
        <w:ind w:left="360"/>
        <w:jc w:val="both"/>
        <w:rPr>
          <w:rFonts w:ascii="Times New Roman" w:hAnsi="Times New Roman" w:cs="Times New Roman"/>
          <w:color w:val="002060"/>
          <w:sz w:val="24"/>
          <w:szCs w:val="24"/>
        </w:rPr>
      </w:pPr>
    </w:p>
    <w:tbl>
      <w:tblPr>
        <w:tblStyle w:val="TableGrid"/>
        <w:tblW w:w="0" w:type="auto"/>
        <w:tblLook w:val="04A0" w:firstRow="1" w:lastRow="0" w:firstColumn="1" w:lastColumn="0" w:noHBand="0" w:noVBand="1"/>
      </w:tblPr>
      <w:tblGrid>
        <w:gridCol w:w="3843"/>
      </w:tblGrid>
      <w:tr w:rsidR="00F73317" w:rsidRPr="00F73317" w:rsidTr="00956BA4">
        <w:trPr>
          <w:trHeight w:val="466"/>
        </w:trPr>
        <w:tc>
          <w:tcPr>
            <w:tcW w:w="3842" w:type="dxa"/>
          </w:tcPr>
          <w:p w:rsidR="00022BFC" w:rsidRPr="00F73317" w:rsidRDefault="00022BFC" w:rsidP="00022BFC">
            <w:pPr>
              <w:jc w:val="both"/>
              <w:rPr>
                <w:rFonts w:ascii="Times New Roman" w:hAnsi="Times New Roman" w:cs="Times New Roman"/>
                <w:color w:val="002060"/>
                <w:sz w:val="24"/>
                <w:szCs w:val="24"/>
              </w:rPr>
            </w:pPr>
            <w:r w:rsidRPr="00F73317">
              <w:rPr>
                <w:rFonts w:ascii="Times New Roman" w:hAnsi="Times New Roman" w:cs="Times New Roman"/>
                <w:b/>
                <w:color w:val="002060"/>
                <w:sz w:val="24"/>
                <w:szCs w:val="24"/>
              </w:rPr>
              <w:t>Prepared by</w:t>
            </w:r>
          </w:p>
        </w:tc>
      </w:tr>
      <w:tr w:rsidR="00F73317" w:rsidRPr="00F73317" w:rsidTr="00956BA4">
        <w:trPr>
          <w:trHeight w:val="1892"/>
        </w:trPr>
        <w:tc>
          <w:tcPr>
            <w:tcW w:w="3842" w:type="dxa"/>
          </w:tcPr>
          <w:p w:rsidR="00022BFC" w:rsidRPr="00F73317" w:rsidRDefault="00022BFC" w:rsidP="00022BFC">
            <w:pPr>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 xml:space="preserve">Name: </w:t>
            </w:r>
          </w:p>
          <w:p w:rsidR="00022BFC" w:rsidRPr="00F73317" w:rsidRDefault="00022BFC" w:rsidP="00022BFC">
            <w:pPr>
              <w:jc w:val="both"/>
              <w:rPr>
                <w:rFonts w:ascii="Times New Roman" w:hAnsi="Times New Roman" w:cs="Times New Roman"/>
                <w:color w:val="002060"/>
                <w:sz w:val="24"/>
                <w:szCs w:val="24"/>
              </w:rPr>
            </w:pPr>
          </w:p>
          <w:p w:rsidR="00022BFC" w:rsidRPr="00F73317" w:rsidRDefault="00022BFC" w:rsidP="00022BFC">
            <w:pPr>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 xml:space="preserve">Designation:____________________ </w:t>
            </w:r>
          </w:p>
          <w:p w:rsidR="00022BFC" w:rsidRPr="00F73317" w:rsidRDefault="00022BFC" w:rsidP="00022BFC">
            <w:pPr>
              <w:jc w:val="both"/>
              <w:rPr>
                <w:rFonts w:ascii="Times New Roman" w:hAnsi="Times New Roman" w:cs="Times New Roman"/>
                <w:color w:val="002060"/>
                <w:sz w:val="24"/>
                <w:szCs w:val="24"/>
              </w:rPr>
            </w:pPr>
          </w:p>
          <w:p w:rsidR="00022BFC" w:rsidRPr="00F73317" w:rsidRDefault="00022BFC" w:rsidP="00022BFC">
            <w:pPr>
              <w:jc w:val="both"/>
              <w:rPr>
                <w:rFonts w:ascii="Times New Roman" w:hAnsi="Times New Roman" w:cs="Times New Roman"/>
                <w:color w:val="002060"/>
                <w:sz w:val="24"/>
                <w:szCs w:val="24"/>
              </w:rPr>
            </w:pPr>
            <w:r w:rsidRPr="00F73317">
              <w:rPr>
                <w:rFonts w:ascii="Times New Roman" w:hAnsi="Times New Roman" w:cs="Times New Roman"/>
                <w:color w:val="002060"/>
                <w:sz w:val="24"/>
                <w:szCs w:val="24"/>
              </w:rPr>
              <w:t>Date: _____________________</w:t>
            </w:r>
          </w:p>
        </w:tc>
      </w:tr>
    </w:tbl>
    <w:p w:rsidR="00022BFC" w:rsidRDefault="00022BFC" w:rsidP="00022BFC">
      <w:pPr>
        <w:pStyle w:val="ListBullet"/>
        <w:numPr>
          <w:ilvl w:val="0"/>
          <w:numId w:val="0"/>
        </w:numPr>
        <w:ind w:left="360" w:hanging="360"/>
      </w:pPr>
    </w:p>
    <w:p w:rsidR="00022BFC" w:rsidRPr="00022BFC" w:rsidRDefault="00022BFC" w:rsidP="00022BFC"/>
    <w:sectPr w:rsidR="00022BFC" w:rsidRPr="00022B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E3CDA34"/>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978"/>
    <w:rsid w:val="00022BFC"/>
    <w:rsid w:val="004F1978"/>
    <w:rsid w:val="006A47E9"/>
    <w:rsid w:val="006F109E"/>
    <w:rsid w:val="008A1121"/>
    <w:rsid w:val="009324FC"/>
    <w:rsid w:val="00956BA4"/>
    <w:rsid w:val="00EA0C02"/>
    <w:rsid w:val="00F22C60"/>
    <w:rsid w:val="00F36EB0"/>
    <w:rsid w:val="00F733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4FC"/>
    <w:rPr>
      <w:rFonts w:ascii="Calibri" w:eastAsia="Calibri" w:hAnsi="Calibri"/>
      <w:sz w:val="19"/>
    </w:rPr>
  </w:style>
  <w:style w:type="paragraph" w:styleId="Heading1">
    <w:name w:val="heading 1"/>
    <w:basedOn w:val="Normal"/>
    <w:next w:val="Normal"/>
    <w:link w:val="Heading1Char"/>
    <w:uiPriority w:val="9"/>
    <w:qFormat/>
    <w:rsid w:val="009324FC"/>
    <w:pPr>
      <w:keepNext/>
      <w:keepLines/>
      <w:spacing w:before="480" w:after="0"/>
      <w:outlineLvl w:val="0"/>
    </w:pPr>
    <w:rPr>
      <w:rFonts w:asciiTheme="majorHAnsi" w:eastAsiaTheme="majorEastAsia" w:hAnsiTheme="majorHAnsi" w:cstheme="majorBidi"/>
      <w:b/>
      <w:bCs/>
      <w:color w:val="17365D"/>
      <w:sz w:val="28"/>
      <w:szCs w:val="28"/>
    </w:rPr>
  </w:style>
  <w:style w:type="paragraph" w:styleId="Heading2">
    <w:name w:val="heading 2"/>
    <w:basedOn w:val="Normal"/>
    <w:next w:val="Normal"/>
    <w:link w:val="Heading2Char"/>
    <w:uiPriority w:val="9"/>
    <w:semiHidden/>
    <w:unhideWhenUsed/>
    <w:qFormat/>
    <w:rsid w:val="009324F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4FC"/>
    <w:rPr>
      <w:rFonts w:asciiTheme="majorHAnsi" w:eastAsiaTheme="majorEastAsia" w:hAnsiTheme="majorHAnsi" w:cstheme="majorBidi"/>
      <w:b/>
      <w:bCs/>
      <w:color w:val="17365D"/>
      <w:sz w:val="28"/>
      <w:szCs w:val="28"/>
    </w:rPr>
  </w:style>
  <w:style w:type="table" w:styleId="TableGrid">
    <w:name w:val="Table Grid"/>
    <w:basedOn w:val="TableNormal"/>
    <w:uiPriority w:val="59"/>
    <w:rsid w:val="009324FC"/>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9324FC"/>
    <w:rPr>
      <w:rFonts w:asciiTheme="majorHAnsi" w:eastAsiaTheme="majorEastAsia" w:hAnsiTheme="majorHAnsi" w:cstheme="majorBidi"/>
      <w:b/>
      <w:bCs/>
      <w:color w:val="4F81BD" w:themeColor="accent1"/>
      <w:sz w:val="26"/>
      <w:szCs w:val="26"/>
    </w:rPr>
  </w:style>
  <w:style w:type="paragraph" w:styleId="ListBullet">
    <w:name w:val="List Bullet"/>
    <w:basedOn w:val="Normal"/>
    <w:uiPriority w:val="99"/>
    <w:unhideWhenUsed/>
    <w:rsid w:val="00022BFC"/>
    <w:pPr>
      <w:numPr>
        <w:numId w:val="1"/>
      </w:numPr>
      <w:contextualSpacing/>
    </w:pPr>
  </w:style>
  <w:style w:type="table" w:styleId="LightGrid-Accent6">
    <w:name w:val="Light Grid Accent 6"/>
    <w:basedOn w:val="TableNormal"/>
    <w:uiPriority w:val="62"/>
    <w:rsid w:val="00EA0C0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Accent2">
    <w:name w:val="Medium Shading 1 Accent 2"/>
    <w:basedOn w:val="TableNormal"/>
    <w:uiPriority w:val="63"/>
    <w:rsid w:val="00956BA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Grid1-Accent2">
    <w:name w:val="Medium Grid 1 Accent 2"/>
    <w:basedOn w:val="TableNormal"/>
    <w:uiPriority w:val="67"/>
    <w:rsid w:val="00956BA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List1-Accent6">
    <w:name w:val="Medium List 1 Accent 6"/>
    <w:basedOn w:val="TableNormal"/>
    <w:uiPriority w:val="65"/>
    <w:rsid w:val="00956BA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4FC"/>
    <w:rPr>
      <w:rFonts w:ascii="Calibri" w:eastAsia="Calibri" w:hAnsi="Calibri"/>
      <w:sz w:val="19"/>
    </w:rPr>
  </w:style>
  <w:style w:type="paragraph" w:styleId="Heading1">
    <w:name w:val="heading 1"/>
    <w:basedOn w:val="Normal"/>
    <w:next w:val="Normal"/>
    <w:link w:val="Heading1Char"/>
    <w:uiPriority w:val="9"/>
    <w:qFormat/>
    <w:rsid w:val="009324FC"/>
    <w:pPr>
      <w:keepNext/>
      <w:keepLines/>
      <w:spacing w:before="480" w:after="0"/>
      <w:outlineLvl w:val="0"/>
    </w:pPr>
    <w:rPr>
      <w:rFonts w:asciiTheme="majorHAnsi" w:eastAsiaTheme="majorEastAsia" w:hAnsiTheme="majorHAnsi" w:cstheme="majorBidi"/>
      <w:b/>
      <w:bCs/>
      <w:color w:val="17365D"/>
      <w:sz w:val="28"/>
      <w:szCs w:val="28"/>
    </w:rPr>
  </w:style>
  <w:style w:type="paragraph" w:styleId="Heading2">
    <w:name w:val="heading 2"/>
    <w:basedOn w:val="Normal"/>
    <w:next w:val="Normal"/>
    <w:link w:val="Heading2Char"/>
    <w:uiPriority w:val="9"/>
    <w:semiHidden/>
    <w:unhideWhenUsed/>
    <w:qFormat/>
    <w:rsid w:val="009324F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4FC"/>
    <w:rPr>
      <w:rFonts w:asciiTheme="majorHAnsi" w:eastAsiaTheme="majorEastAsia" w:hAnsiTheme="majorHAnsi" w:cstheme="majorBidi"/>
      <w:b/>
      <w:bCs/>
      <w:color w:val="17365D"/>
      <w:sz w:val="28"/>
      <w:szCs w:val="28"/>
    </w:rPr>
  </w:style>
  <w:style w:type="table" w:styleId="TableGrid">
    <w:name w:val="Table Grid"/>
    <w:basedOn w:val="TableNormal"/>
    <w:uiPriority w:val="59"/>
    <w:rsid w:val="009324FC"/>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9324FC"/>
    <w:rPr>
      <w:rFonts w:asciiTheme="majorHAnsi" w:eastAsiaTheme="majorEastAsia" w:hAnsiTheme="majorHAnsi" w:cstheme="majorBidi"/>
      <w:b/>
      <w:bCs/>
      <w:color w:val="4F81BD" w:themeColor="accent1"/>
      <w:sz w:val="26"/>
      <w:szCs w:val="26"/>
    </w:rPr>
  </w:style>
  <w:style w:type="paragraph" w:styleId="ListBullet">
    <w:name w:val="List Bullet"/>
    <w:basedOn w:val="Normal"/>
    <w:uiPriority w:val="99"/>
    <w:unhideWhenUsed/>
    <w:rsid w:val="00022BFC"/>
    <w:pPr>
      <w:numPr>
        <w:numId w:val="1"/>
      </w:numPr>
      <w:contextualSpacing/>
    </w:pPr>
  </w:style>
  <w:style w:type="table" w:styleId="LightGrid-Accent6">
    <w:name w:val="Light Grid Accent 6"/>
    <w:basedOn w:val="TableNormal"/>
    <w:uiPriority w:val="62"/>
    <w:rsid w:val="00EA0C0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Accent2">
    <w:name w:val="Medium Shading 1 Accent 2"/>
    <w:basedOn w:val="TableNormal"/>
    <w:uiPriority w:val="63"/>
    <w:rsid w:val="00956BA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Grid1-Accent2">
    <w:name w:val="Medium Grid 1 Accent 2"/>
    <w:basedOn w:val="TableNormal"/>
    <w:uiPriority w:val="67"/>
    <w:rsid w:val="00956BA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List1-Accent6">
    <w:name w:val="Medium List 1 Accent 6"/>
    <w:basedOn w:val="TableNormal"/>
    <w:uiPriority w:val="65"/>
    <w:rsid w:val="00956BA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1401</Words>
  <Characters>7988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Rabaya Zaman</dc:creator>
  <cp:keywords/>
  <dc:description/>
  <cp:lastModifiedBy>Rabaya Zaman</cp:lastModifiedBy>
  <cp:revision>9</cp:revision>
  <dcterms:created xsi:type="dcterms:W3CDTF">2026-11-03T06:25:00Z</dcterms:created>
  <dcterms:modified xsi:type="dcterms:W3CDTF">2026-11-03T07:11:00Z</dcterms:modified>
</cp:coreProperties>
</file>